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29F" w:rsidRPr="003849C4" w:rsidRDefault="0081329F" w:rsidP="0091588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207748488"/>
      <w:r w:rsidRPr="003849C4">
        <w:rPr>
          <w:rFonts w:ascii="Times New Roman" w:hAnsi="Times New Roman" w:cs="Times New Roman"/>
          <w:b/>
          <w:bCs/>
          <w:sz w:val="24"/>
          <w:szCs w:val="24"/>
        </w:rPr>
        <w:t xml:space="preserve">Wymagania edukacyjne z historii dla klasy </w:t>
      </w:r>
      <w:r w:rsidR="00D77113">
        <w:rPr>
          <w:rFonts w:ascii="Times New Roman" w:hAnsi="Times New Roman" w:cs="Times New Roman"/>
          <w:b/>
          <w:bCs/>
          <w:sz w:val="24"/>
          <w:szCs w:val="24"/>
        </w:rPr>
        <w:t xml:space="preserve">4a </w:t>
      </w:r>
      <w:r w:rsidRPr="003849C4">
        <w:rPr>
          <w:rFonts w:ascii="Times New Roman" w:hAnsi="Times New Roman" w:cs="Times New Roman"/>
          <w:b/>
          <w:bCs/>
          <w:sz w:val="24"/>
          <w:szCs w:val="24"/>
        </w:rPr>
        <w:t>na rok szkolny 2025/2026 w oparciu o program nauczania „Poznać przeszłość. Zakres podstawowy” oraz sposoby sprawdzaniaosiągnięćedukacyjnychuczniów</w:t>
      </w:r>
    </w:p>
    <w:p w:rsidR="0081329F" w:rsidRPr="003849C4" w:rsidRDefault="0081329F" w:rsidP="00915883">
      <w:pPr>
        <w:rPr>
          <w:rFonts w:ascii="Times New Roman" w:hAnsi="Times New Roman" w:cs="Times New Roman"/>
          <w:sz w:val="24"/>
          <w:szCs w:val="24"/>
        </w:rPr>
      </w:pPr>
    </w:p>
    <w:p w:rsidR="0081329F" w:rsidRPr="003849C4" w:rsidRDefault="0081329F" w:rsidP="0081329F">
      <w:pPr>
        <w:pStyle w:val="Akapitzlist"/>
        <w:widowControl w:val="0"/>
        <w:numPr>
          <w:ilvl w:val="0"/>
          <w:numId w:val="43"/>
        </w:numPr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sz w:val="32"/>
          <w:szCs w:val="32"/>
        </w:rPr>
      </w:pPr>
      <w:r w:rsidRPr="003849C4">
        <w:rPr>
          <w:rFonts w:ascii="Times New Roman" w:hAnsi="Times New Roman" w:cs="Times New Roman"/>
          <w:sz w:val="32"/>
          <w:szCs w:val="32"/>
        </w:rPr>
        <w:t>Wymagania edukacyjne</w:t>
      </w:r>
    </w:p>
    <w:tbl>
      <w:tblPr>
        <w:tblW w:w="0" w:type="auto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829"/>
        <w:gridCol w:w="2050"/>
        <w:gridCol w:w="2313"/>
        <w:gridCol w:w="2565"/>
        <w:gridCol w:w="2942"/>
        <w:gridCol w:w="3301"/>
      </w:tblGrid>
      <w:tr w:rsidR="003D5D9D" w:rsidRPr="003D5D9D" w:rsidTr="003D5D9D">
        <w:trPr>
          <w:trHeight w:val="258"/>
        </w:trPr>
        <w:tc>
          <w:tcPr>
            <w:tcW w:w="0" w:type="auto"/>
            <w:vMerge w:val="restart"/>
            <w:shd w:val="clear" w:color="auto" w:fill="auto"/>
            <w:vAlign w:val="center"/>
          </w:tcPr>
          <w:bookmarkEnd w:id="0"/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Temat lekcji</w:t>
            </w:r>
          </w:p>
        </w:tc>
        <w:tc>
          <w:tcPr>
            <w:tcW w:w="0" w:type="auto"/>
            <w:gridSpan w:val="5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Wymagania na poszczególne oceny </w:t>
            </w:r>
          </w:p>
        </w:tc>
      </w:tr>
      <w:tr w:rsidR="003D5D9D" w:rsidRPr="003D5D9D" w:rsidTr="003D5D9D">
        <w:trPr>
          <w:trHeight w:val="258"/>
        </w:trPr>
        <w:tc>
          <w:tcPr>
            <w:tcW w:w="0" w:type="auto"/>
            <w:vMerge/>
            <w:shd w:val="clear" w:color="auto" w:fill="auto"/>
            <w:vAlign w:val="center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Ocena dopuszczająca Uczeń: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Ocena dostateczna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Uczeń: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Ocena dobra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Uczeń: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Ocena bardzo dobra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Uczeń: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Ocena celująca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Uczeń:</w:t>
            </w:r>
          </w:p>
        </w:tc>
      </w:tr>
      <w:tr w:rsidR="003D5D9D" w:rsidRPr="003D5D9D" w:rsidTr="003D5D9D">
        <w:trPr>
          <w:trHeight w:val="1266"/>
        </w:trPr>
        <w:tc>
          <w:tcPr>
            <w:tcW w:w="0" w:type="auto"/>
            <w:tcBorders>
              <w:left w:val="single" w:sz="4" w:space="0" w:color="000000"/>
              <w:right w:val="nil"/>
            </w:tcBorders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2. Żelazna kurtyna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stosuje pojęcia: żelazna kurtyna, zimna wojna, NRD, RFN, NATO, Układ Warszawski,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omawia działalność postaci: Nikity Chruszczowa,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wymienia wydarzenia związane z datami: 5 marca 1946 r., 5 marca 1953 r.,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znaczenie tajnego referatu Chruszczowa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charakteryzuje cechy stalinizmu w państwach Europy Środkowo-Wschodniej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formy kultu jednostki w krajach komunistycznych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stosuje pojęcia: strefy okupacyjne, Bizonia, Trizonia, blokada Berlina Zachodniego, most powietrzny, EWWiS, Beneluks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działalność postaci: Konrada Adenauera, Roberta Schumana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wymienia wydarzenia związane z datami: czerwiec 1948 r.–maj 1949 r., </w:t>
            </w:r>
            <w:r w:rsidRPr="003D5D9D">
              <w:rPr>
                <w:rFonts w:ascii="Times New Roman" w:hAnsi="Times New Roman" w:cs="Times New Roman"/>
              </w:rPr>
              <w:br/>
              <w:t>4 kwietnia 1949 r., , 14 maja 1955 r., luty 1956 r.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charakteryzuje różnice </w:t>
            </w:r>
            <w:r w:rsidRPr="003D5D9D">
              <w:rPr>
                <w:rFonts w:ascii="Times New Roman" w:hAnsi="Times New Roman" w:cs="Times New Roman"/>
              </w:rPr>
              <w:br/>
              <w:t xml:space="preserve">w podejściu mocarstw </w:t>
            </w:r>
            <w:r w:rsidRPr="003D5D9D">
              <w:rPr>
                <w:rFonts w:ascii="Times New Roman" w:hAnsi="Times New Roman" w:cs="Times New Roman"/>
              </w:rPr>
              <w:br/>
              <w:t xml:space="preserve">do kwestii niemieckiej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przedstawia przebieg </w:t>
            </w:r>
            <w:r w:rsidRPr="003D5D9D">
              <w:rPr>
                <w:rFonts w:ascii="Times New Roman" w:hAnsi="Times New Roman" w:cs="Times New Roman"/>
              </w:rPr>
              <w:br/>
              <w:t>i rezultat sowieckiej blokady Berlina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omawia genezę powstania NATO oraz podaje nazwy </w:t>
            </w:r>
            <w:r w:rsidRPr="003D5D9D">
              <w:rPr>
                <w:rFonts w:ascii="Times New Roman" w:hAnsi="Times New Roman" w:cs="Times New Roman"/>
              </w:rPr>
              <w:lastRenderedPageBreak/>
              <w:t>najważniejszych państw, które przystąpiły do NATO oraz Układu Warszawskiego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znaczenie tajnego referatu Chruszczowa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lastRenderedPageBreak/>
              <w:t>– stosuje pojęcia: powstanie berlińskie, Rada Europy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omawia działalność postaci: Imre Nagya, Ławrientija Berii,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wymienia wydarzenia związane z datami: 20 września 1949 r., </w:t>
            </w:r>
            <w:r w:rsidRPr="003D5D9D">
              <w:rPr>
                <w:rFonts w:ascii="Times New Roman" w:hAnsi="Times New Roman" w:cs="Times New Roman"/>
              </w:rPr>
              <w:br/>
              <w:t xml:space="preserve">7 października 1949 r., 23 lipca 1952 r., </w:t>
            </w:r>
            <w:r w:rsidRPr="003D5D9D">
              <w:rPr>
                <w:rFonts w:ascii="Times New Roman" w:hAnsi="Times New Roman" w:cs="Times New Roman"/>
              </w:rPr>
              <w:br/>
              <w:t xml:space="preserve">16 czerwca 1953 r., </w:t>
            </w:r>
            <w:r w:rsidRPr="003D5D9D">
              <w:rPr>
                <w:rFonts w:ascii="Times New Roman" w:hAnsi="Times New Roman" w:cs="Times New Roman"/>
              </w:rPr>
              <w:br/>
              <w:t>23 października–4 listopada 1956 r.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charakteryzuje przebieg integracji europejskiej w latach 50. XX w.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wyjaśnia genezę powstania dwóch państw niemieckich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podaje przyczyny wystąpień na Węgrzech w 1956 r.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stosuje pojęcia: powstanie berlińskie, tajny referat, Rada Europy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omawia działalność postaci: Wilhelma Piecka, Waltera Ulbrichta, Janosa Kadara, Alcide de Gasperiego,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podaje przyczyny powstania berlińskiego </w:t>
            </w:r>
            <w:r w:rsidRPr="003D5D9D">
              <w:rPr>
                <w:rFonts w:ascii="Times New Roman" w:hAnsi="Times New Roman" w:cs="Times New Roman"/>
              </w:rPr>
              <w:br/>
              <w:t>z 1953 r.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opisuje przebieg </w:t>
            </w:r>
            <w:r w:rsidRPr="003D5D9D">
              <w:rPr>
                <w:rFonts w:ascii="Times New Roman" w:hAnsi="Times New Roman" w:cs="Times New Roman"/>
              </w:rPr>
              <w:br/>
              <w:t xml:space="preserve">i skutki wydarzeń na Węgrzech </w:t>
            </w:r>
            <w:r w:rsidRPr="003D5D9D">
              <w:rPr>
                <w:rFonts w:ascii="Times New Roman" w:hAnsi="Times New Roman" w:cs="Times New Roman"/>
              </w:rPr>
              <w:br/>
              <w:t>w 1956 r.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działalność postaci: JózsefaMindszentyego, PálaMalétera</w:t>
            </w:r>
          </w:p>
        </w:tc>
      </w:tr>
      <w:tr w:rsidR="003D5D9D" w:rsidRPr="003D5D9D" w:rsidTr="003D5D9D">
        <w:trPr>
          <w:trHeight w:val="1266"/>
        </w:trPr>
        <w:tc>
          <w:tcPr>
            <w:tcW w:w="0" w:type="auto"/>
            <w:tcBorders>
              <w:left w:val="single" w:sz="4" w:space="0" w:color="000000"/>
              <w:right w:val="nil"/>
            </w:tcBorders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lastRenderedPageBreak/>
              <w:t>3. Azja w czasach dekolonizacji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stosuje pojęcia: taktyka biernego oporu, Wielki Skok, rewolucja kulturalna,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omawia działalność postaci: Mahatmy Gandhiego, Mao Zedonga,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wskazuje na mapie: Indie, Pakistan, Chiny,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przedstawia postulaty, przebieg i skutek Wielkiego Skoku i rewolucji kulturalnej w Chinach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stosuje pojęcia: czerwona książeczka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działalność postaci: Ho Chi Minha, Czang Kaj-szeka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wymienia wydarzenia związane z latami: 1947 r., 1949 r., 1950–1953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wskazuje na mapie: Tajwan, Japonię, Koreę Północną i Południową, Wietnam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opisuje przemiany </w:t>
            </w:r>
            <w:r w:rsidRPr="003D5D9D">
              <w:rPr>
                <w:rFonts w:ascii="Times New Roman" w:hAnsi="Times New Roman" w:cs="Times New Roman"/>
              </w:rPr>
              <w:br/>
              <w:t>w Chinach w latach 40. XX w.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przedstawia postulaty, przebieg i skutek Wielkiego Skoku i rewolucji kulturalnej w Chinach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wymienia komunistyczne kraje Dalekiego Wschodu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stosuje pojęcia: Kuomintang, Czerwona Gwardia, hunwejbini,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omawia działalność postaci: Douglasa MacArthura, Kim Ir Sena,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wymienia wydarzenia związane z latami: 1954 r., 1955–1975, 1971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opisuje proces dekolonizacji Azji oraz ocenia jego następstwa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opisuje przebieg walki o niepodległość Indii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charakteryzuje komunistyczne reżimy w Chinach, Korei Północnej, Wietnamie i Kambodży, uwzględniając szczególnie stosunek władzy do jednostki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stosuje pojęcia: Kuomintang, Czerwona Gwardia, hunwejbini, Czerwoni Khmerzy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działalność postaci: Denga Xiaopinga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wskazuje na mapie: Laos, Kambodżę, Kaszmir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opisuje proces dekolonizacji Azji oraz ocenia jego następstwa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podaje przykłady państw Dalekiego Wschodu współpracujących z USA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przedstawia przykłady konfliktów postkolonialnych </w:t>
            </w:r>
            <w:r w:rsidRPr="003D5D9D">
              <w:rPr>
                <w:rFonts w:ascii="Times New Roman" w:hAnsi="Times New Roman" w:cs="Times New Roman"/>
              </w:rPr>
              <w:br/>
              <w:t>w Azji</w:t>
            </w:r>
          </w:p>
        </w:tc>
      </w:tr>
      <w:tr w:rsidR="003D5D9D" w:rsidRPr="003D5D9D" w:rsidTr="003D5D9D">
        <w:trPr>
          <w:trHeight w:val="1266"/>
        </w:trPr>
        <w:tc>
          <w:tcPr>
            <w:tcW w:w="0" w:type="auto"/>
            <w:tcBorders>
              <w:left w:val="single" w:sz="4" w:space="0" w:color="000000"/>
              <w:right w:val="nil"/>
            </w:tcBorders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lastRenderedPageBreak/>
              <w:t>4. Bliski Wschód i Afryka po II wojnie światowej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stosuje pojęcia: Bliski Wschód, apartheid, państwa Trzeciego Świata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wskazuje na mapie: Izrael, Egipt, Iran, Irak, Kanał Sueski, Jerozolimę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charakteryzuje konflikt izraelsko-palestyński, dostrzegając rolę światowych mocarstw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w konflikcie na Bliskim Wschodzie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stosuje pojęcia: syjonizm, kryzys sueski, Rok Afryki,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działalność postaci: Dawida Ben Guriona, Jasera Arafata, Saddama Husajna, Nelsona Mandeli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wymienia wydarzenia związane z latami: 1948 r., 1956 r., 1967 r., 1973 r.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wskazuje na mapie: Izrael, Egipt, Iran, Irak, Kanał Sueski, Jerozolimę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przyczyny i skutki dekolonizacji Afryki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stosuje pojęcia: wojna sześciodniowa, wojna JomKippur, bantustan, kibuc, ajatollah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omawia działalność postaci: Gamala Abdela Nasera,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wskazuje na mapie: półwysep Synaj, Jerozolimę, Tel Awiw,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wymienia wydarzenia związane z datami: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14 maja 1948 r.,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opisuje znaczenie rewolucji islamskiej </w:t>
            </w:r>
            <w:r w:rsidRPr="003D5D9D">
              <w:rPr>
                <w:rFonts w:ascii="Times New Roman" w:hAnsi="Times New Roman" w:cs="Times New Roman"/>
              </w:rPr>
              <w:br/>
              <w:t>w Iranie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stosuje pojęcia: wojna sześciodniowa, wojna JomKippur, , kibuc,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działalność postaci: ajatollaha RuhollahaChomejniego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wskazuje na mapie: Zachodni Brzeg Jordanu, wzgórza Golan, Kuwejt, Biafrę, Katangę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wymienia wydarzenia związane z datami: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1954 r., 1979 r., 1980–1988, 1990–1991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stosuje pojęcia: harkisi, OJA, Ruch Państw Niezaangażowanych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działalność postaci: Frederika de Klerka, Patrice’a Lumumby</w:t>
            </w:r>
          </w:p>
        </w:tc>
      </w:tr>
      <w:tr w:rsidR="003D5D9D" w:rsidRPr="003D5D9D" w:rsidTr="003D5D9D">
        <w:trPr>
          <w:trHeight w:val="1266"/>
        </w:trPr>
        <w:tc>
          <w:tcPr>
            <w:tcW w:w="0" w:type="auto"/>
            <w:tcBorders>
              <w:left w:val="single" w:sz="4" w:space="0" w:color="000000"/>
              <w:right w:val="nil"/>
            </w:tcBorders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5. Konflikty okresu zimnej wojny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 – stosuje pojęcia: kryzys kubański, Praska Wiosna, mur berliński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omawia działalność postaci: Fidela Castro, Leonida Breżniewa,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podaje przykłady dziedzin </w:t>
            </w:r>
            <w:r w:rsidRPr="003D5D9D">
              <w:rPr>
                <w:rFonts w:ascii="Times New Roman" w:hAnsi="Times New Roman" w:cs="Times New Roman"/>
              </w:rPr>
              <w:br/>
              <w:t>i miejsc rywalizacji pomiędzy ZSRS a USA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stosuje pojęcia: doktryna Breżniewa, gorąca linia,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działalność postaci: Johna F. Kennedy’ego,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opisuje przyczyny </w:t>
            </w:r>
            <w:r w:rsidRPr="003D5D9D">
              <w:rPr>
                <w:rFonts w:ascii="Times New Roman" w:hAnsi="Times New Roman" w:cs="Times New Roman"/>
              </w:rPr>
              <w:br/>
              <w:t>i przebieg kryzysu kubańskiego,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przedstawia przyczyny </w:t>
            </w:r>
            <w:r w:rsidRPr="003D5D9D">
              <w:rPr>
                <w:rFonts w:ascii="Times New Roman" w:hAnsi="Times New Roman" w:cs="Times New Roman"/>
              </w:rPr>
              <w:br/>
              <w:t>i przebieg Praskiej Wiosny,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podaje przykłady dziedzin </w:t>
            </w:r>
            <w:r w:rsidRPr="003D5D9D">
              <w:rPr>
                <w:rFonts w:ascii="Times New Roman" w:hAnsi="Times New Roman" w:cs="Times New Roman"/>
              </w:rPr>
              <w:br/>
            </w:r>
            <w:r w:rsidRPr="003D5D9D">
              <w:rPr>
                <w:rFonts w:ascii="Times New Roman" w:hAnsi="Times New Roman" w:cs="Times New Roman"/>
              </w:rPr>
              <w:lastRenderedPageBreak/>
              <w:t>i miejsc rywalizacji pomiędzy ZSRS a USA,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opisuje przyczyny, przebieg i skutki Praskiej Wiosny,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przebieg rywalizacji amerykańsko-sowieckiej w dziedzinie podboju kosmosu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lastRenderedPageBreak/>
              <w:t xml:space="preserve">stosuje pojęcia: „socjalizm z ludzką twarzą”,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omawia wydarzenia związane z datami: 1959 r., 1961 r., 1968 r.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omawia działalność postaci: Alexandra Dubčeka, Ryszarda Siwca,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 – charakteryzuje przyczyny i przebieg wojny w Wietnamie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stosuje pojęcia: „socjalizm z ludzką twarzą”, operacja „Dunaj”, Vietcong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działalność postaci: Augusto Pinocheta, GustávaHusáka,  Ernesto Che Guevary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 – charakteryzuje przyczyny </w:t>
            </w:r>
            <w:r w:rsidRPr="003D5D9D">
              <w:rPr>
                <w:rFonts w:ascii="Times New Roman" w:hAnsi="Times New Roman" w:cs="Times New Roman"/>
              </w:rPr>
              <w:br/>
              <w:t xml:space="preserve">i przebieg wojny </w:t>
            </w:r>
            <w:r w:rsidRPr="003D5D9D">
              <w:rPr>
                <w:rFonts w:ascii="Times New Roman" w:hAnsi="Times New Roman" w:cs="Times New Roman"/>
              </w:rPr>
              <w:br/>
              <w:t>w Wietnamie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wydarzenia związane z datami: 12 kwietnia 1961 r., 17 kwietnia 1961 r., 1975 r.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omawia działalność postaci: Daniela Ortegi, Salvadora Allende,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okoliczności przejęcia władzy przez Pinocheta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</w:tr>
      <w:tr w:rsidR="003D5D9D" w:rsidRPr="003D5D9D" w:rsidTr="003D5D9D">
        <w:trPr>
          <w:trHeight w:val="1266"/>
        </w:trPr>
        <w:tc>
          <w:tcPr>
            <w:tcW w:w="0" w:type="auto"/>
            <w:tcBorders>
              <w:left w:val="single" w:sz="4" w:space="0" w:color="000000"/>
              <w:right w:val="nil"/>
            </w:tcBorders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lastRenderedPageBreak/>
              <w:t xml:space="preserve">6. Przemiany w powojennym świecie 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stosuje pojęcia: traktaty rzymskie, rewolucja seksualna, feminizm, segregacja rasowa,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działalność postaci: Martina Luthera Kinga,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przyczyny i początki procesu integracji europejskiej,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prezentuje poglądy ruchu feministycznego w drugiej połowie XX wieku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stosuje pojęcia: EWG, Euratom, feminizm, dzieci kwiaty, ruch hipisowski, pacyfizm,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omawia działalność postaci: Johna </w:t>
            </w:r>
            <w:r w:rsidRPr="003D5D9D">
              <w:rPr>
                <w:rFonts w:ascii="Times New Roman" w:hAnsi="Times New Roman" w:cs="Times New Roman"/>
              </w:rPr>
              <w:br/>
              <w:t xml:space="preserve">F. Kennedy’ego,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wymienia wydarzenia związane z latami: 1962–1965, 1964 r., maj 1968 r.,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przyczyny i początki procesu integracji europejskiej,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przedstawia główne przyczyny pojawienia się nowych tendencji w kulturze w latach 60. XX w.,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opisuje walkę o równouprawnienie ludności czarnoskórej w USA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stosuje pojęcia: Euratom, EFTA, festiwal Woodstock,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działalność postaci: Jana XXIII, Pawła VI BettyFriedan,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wymienia wydarzenia związane z datami: grudzień 1965 r., 15–18 sierpnia 1969 r.,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podaje przykłady dotyczące kultury lat 60.: Elvisa Presleya, Marilyn Monroe, Brigitte Bardot, Jamesa Deana, Marlona Brando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podaje główne założenia przyjęte na soborze watykańskim II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stosuje pojęcia: Euratom, EFTA, egzystencjalizm, teatr absurdu, festiwal Woodstock, Czarne Pantery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działalność postaci: Malcolma X, Rosy Parks,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wymienia wydarzenia związane z datami: grudzień 1965 r., 15–18 sierpnia 1969 r.,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wyjaśnia genezę terroru środowisk skrajnie lewicowych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ocenia znaczenie reform soboru watykańskiego II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ocenia znaczenie zamachu na prezydenta USA J. F. Keneddy’ego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określa znaczenie festiwalu w Woodstock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</w:tr>
      <w:tr w:rsidR="003D5D9D" w:rsidRPr="003D5D9D" w:rsidTr="003D5D9D">
        <w:trPr>
          <w:trHeight w:val="1266"/>
        </w:trPr>
        <w:tc>
          <w:tcPr>
            <w:tcW w:w="0" w:type="auto"/>
            <w:tcBorders>
              <w:left w:val="single" w:sz="4" w:space="0" w:color="000000"/>
              <w:right w:val="nil"/>
            </w:tcBorders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lastRenderedPageBreak/>
              <w:t>1. Początki władzy komunistów w Polsce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stosuje pojęcia: Manifest PKWN, żołnierze niezłomni, PSL,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wymienia wydarzenia związane z datami: 22 lipca 1944 r., 4–11 lutego 1945 r.,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działalność postaci: Stanisława Mikołajczyka, Danuty Siedzikówny ps. Inka, Witolda Pileckiego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działalność żołnierzy niezłomnych, podaje przykłady postaci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stosuje pojęcia: TRJN, proces szesnastu, kwatera na Łączce, PSL, referendum ludowe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wymienia wydarzenia związane z datami: czerwiec 1945 r.,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30 czerwca 1946 r., </w:t>
            </w:r>
            <w:r w:rsidRPr="003D5D9D">
              <w:rPr>
                <w:rFonts w:ascii="Times New Roman" w:hAnsi="Times New Roman" w:cs="Times New Roman"/>
              </w:rPr>
              <w:br/>
              <w:t>19 stycznia 1947 r.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działalność postaci: Stanisława Mikołajczyka, Leopolda Okulickiego, Bolesława Bieruta,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charakteryzuje znaczenie referendum ludowego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podaje przykłady postaci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opisuje metody walki komunistów z opozycją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przedstawia wybrane miejsca pamięci ofiar reżimu komunistycznego (Łączka).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wymienia przykłady wyborów sfałszowanych przez komunistów (referendum ludowe, wybory 1947 r.)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stosuje pojęcia: WiN, Testament Polski Walczącej, odchylenie prawicowo-nacjonalistyczne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omawia działalność postaci: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Władysława Gomułki,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wymienia wydarzenia związane z datami: </w:t>
            </w:r>
            <w:r w:rsidRPr="003D5D9D">
              <w:rPr>
                <w:rFonts w:ascii="Times New Roman" w:hAnsi="Times New Roman" w:cs="Times New Roman"/>
              </w:rPr>
              <w:br/>
              <w:t xml:space="preserve">27 lipca 1944 r., </w:t>
            </w:r>
            <w:r w:rsidRPr="003D5D9D">
              <w:rPr>
                <w:rFonts w:ascii="Times New Roman" w:hAnsi="Times New Roman" w:cs="Times New Roman"/>
              </w:rPr>
              <w:br/>
              <w:t xml:space="preserve">16 sierpnia 1944 r., </w:t>
            </w:r>
            <w:r w:rsidRPr="003D5D9D">
              <w:rPr>
                <w:rFonts w:ascii="Times New Roman" w:hAnsi="Times New Roman" w:cs="Times New Roman"/>
              </w:rPr>
              <w:br/>
              <w:t xml:space="preserve">1 grudnia 1944 r.,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31 grudnia 1944 r., </w:t>
            </w:r>
            <w:r w:rsidRPr="003D5D9D">
              <w:rPr>
                <w:rFonts w:ascii="Times New Roman" w:hAnsi="Times New Roman" w:cs="Times New Roman"/>
              </w:rPr>
              <w:br/>
              <w:t xml:space="preserve">19 stycznia 1945 r., 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stosuje pojęcia: obława augustowska, WiN, Blok Demokratyczny, odchylenie prawicowo-nacjonalistyczne, omawia działalność postaci: Jana Stanisława Jankowskiego,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Kazimierza Pużaka,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wymienia wydarzenia związane z datami: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27 marca 1945 r., </w:t>
            </w:r>
            <w:r w:rsidRPr="003D5D9D">
              <w:rPr>
                <w:rFonts w:ascii="Times New Roman" w:hAnsi="Times New Roman" w:cs="Times New Roman"/>
              </w:rPr>
              <w:br/>
              <w:t xml:space="preserve">1 lipca 1945 r., 1946 r., </w:t>
            </w:r>
            <w:r w:rsidRPr="003D5D9D">
              <w:rPr>
                <w:rFonts w:ascii="Times New Roman" w:hAnsi="Times New Roman" w:cs="Times New Roman"/>
              </w:rPr>
              <w:br/>
              <w:t xml:space="preserve">28 kwietnia </w:t>
            </w:r>
            <w:r w:rsidRPr="003D5D9D">
              <w:rPr>
                <w:rFonts w:ascii="Times New Roman" w:hAnsi="Times New Roman" w:cs="Times New Roman"/>
              </w:rPr>
              <w:br/>
              <w:t>1947 r., 1958 r.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działalność postaci: Edwarda Osóbki-Morawskiego, Antoniego Hedy, Stefana Bembińskiego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przedstawia przebieg i złożone okoliczności pogromu kieleckiego</w:t>
            </w:r>
          </w:p>
        </w:tc>
      </w:tr>
      <w:tr w:rsidR="003D5D9D" w:rsidRPr="003D5D9D" w:rsidTr="003D5D9D">
        <w:trPr>
          <w:trHeight w:val="1266"/>
        </w:trPr>
        <w:tc>
          <w:tcPr>
            <w:tcW w:w="0" w:type="auto"/>
            <w:tcBorders>
              <w:left w:val="single" w:sz="4" w:space="0" w:color="000000"/>
              <w:right w:val="nil"/>
            </w:tcBorders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lastRenderedPageBreak/>
              <w:t>3. Polska w czasach stalinizmu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 wyjaśnia znaczenie terminów: PZPR, PRL,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działalność postaci: Bolesława Bieruta, kard. Stefana Wyszyńskiego, Augusta Emila Fieldorfa ps. Nil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zmiany ustrojowe wprowadzane na mocy Konstytucji PRL z 1952 r.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 – podaje przykłady socrealizmu w Polsce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przedstawia przypadki mordów sądowych w okresie stalinizmu na przykładzie sprawy gen. Fieldorfa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wyjaśnia znaczenie terminów: PZPR, PRL, stalinizm, socrealizm, Pałac Kultury i Nauki, demokracja ludowa,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działalność postaci: Józefa Cyrankiewicza, Jakuba Bermana, Hilarego Minca, Władysława Gomułki,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wymienia wydarzenia związane z datami: 1948–1956, 15 grudnia 1948 r., 1952 r.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opisuje formy i skutki prześladowania Kościoła katolickiego w okresie stalinizmu,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opisuje metody sowietyzacji młodego pokolenia Polaków przedsiębrane przez władze komunistyczne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stosuje pojęcia: ZMP, Służba Polsce, ZWM, ZSL, SD, ruch księży patriotów, Stowarzyszenie PAX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omawia działalność postaci: Witolda Pileckiego,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wymienia wydarzenia związane z datami: wrzesień 1947 r., czerwiec 1948 r., 22 lipca </w:t>
            </w:r>
            <w:r w:rsidRPr="003D5D9D">
              <w:rPr>
                <w:rFonts w:ascii="Times New Roman" w:hAnsi="Times New Roman" w:cs="Times New Roman"/>
              </w:rPr>
              <w:br/>
              <w:t>1952 r.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przedstawia proces sowietyzacji kraju na płaszczyźnie ustrojowej, gospodarczo-społecznej </w:t>
            </w:r>
            <w:r w:rsidRPr="003D5D9D">
              <w:rPr>
                <w:rFonts w:ascii="Times New Roman" w:hAnsi="Times New Roman" w:cs="Times New Roman"/>
              </w:rPr>
              <w:br/>
              <w:t>i kulturowej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stosuje pojęcia: nomenklatura, ruch księży patriotów, Stowarzyszenie PAX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omawia działalność postaci: Czesława Kaczmarka, Zenona Kliszki, Michała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Żymierskiego ps. Rola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wymienia wydarzenia związane z datami: wrzesień 1947 r., czerwiec 1948 r., 22 lipca 1952 r.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omawia działalność postaci: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Jana Padewskiego, Bolesława Piaseckiego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przedstawia nurt współpracy z komunistami części przedwojennych środowisk politycznych </w:t>
            </w:r>
          </w:p>
        </w:tc>
      </w:tr>
      <w:tr w:rsidR="003D5D9D" w:rsidRPr="003D5D9D" w:rsidTr="003D5D9D">
        <w:trPr>
          <w:trHeight w:val="1266"/>
        </w:trPr>
        <w:tc>
          <w:tcPr>
            <w:tcW w:w="0" w:type="auto"/>
            <w:tcBorders>
              <w:left w:val="single" w:sz="4" w:space="0" w:color="000000"/>
              <w:right w:val="nil"/>
            </w:tcBorders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4. Odwilż polityczna 1956 roku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stosuje pojęcia: odwilż, poznański Czerwiec, polski Październik,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omawia działalność postaci: Władysława Gomułki, kard. Stefana Wyszyńskiego,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wymienia wydarzenia związane </w:t>
            </w:r>
            <w:r w:rsidRPr="003D5D9D">
              <w:rPr>
                <w:rFonts w:ascii="Times New Roman" w:hAnsi="Times New Roman" w:cs="Times New Roman"/>
              </w:rPr>
              <w:lastRenderedPageBreak/>
              <w:t>z datami: 1953 r., czerwiec 1956 r., październik 1956 r.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podaje przykłady odwilży w Polsce po r. 1956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lastRenderedPageBreak/>
              <w:t>stosuje pojęcia: aparat bezpieczeństwa, destalinizacja, ZOMO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działalność postaci: Konstantego Rokossowskiego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wyjaśnia przyczyny, przebieg i następstwa poznańskiego Czerwca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wymienia wydarzenia związane z datami: </w:t>
            </w:r>
            <w:r w:rsidRPr="003D5D9D">
              <w:rPr>
                <w:rFonts w:ascii="Times New Roman" w:hAnsi="Times New Roman" w:cs="Times New Roman"/>
              </w:rPr>
              <w:lastRenderedPageBreak/>
              <w:t>1953 r., czerwiec 1956 r., październik 1956 r.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prezentuje okoliczności powrotu Władysława Gomułki do władzy po śmierci Stalina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charakteryzuje zakończenie procesu odwilży w Polsce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lastRenderedPageBreak/>
              <w:t>– stosuje pojęcia: Klub Krzywego Koła, „Po Prostu”, Kluby Młodej Inteligencji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działalność postaci: Józefa Światły, Józefa Cyrankiewicza, Romana Strzałkowskiego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wymienia wydarzenia związane z datami: 28–30 czerwca 1956 r., 19–20 </w:t>
            </w:r>
            <w:r w:rsidRPr="003D5D9D">
              <w:rPr>
                <w:rFonts w:ascii="Times New Roman" w:hAnsi="Times New Roman" w:cs="Times New Roman"/>
              </w:rPr>
              <w:lastRenderedPageBreak/>
              <w:t>października 1956 r., 1957 r.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wyjaśnia, jakie było znaczenie VIII Plenum KC PZPR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lastRenderedPageBreak/>
              <w:t xml:space="preserve">– stosuje pojęcia: puławianie, natolińczycy, Klub Krzywego Koła, „Po Prostu”, Kluby Młodej Inteligencji, – prezentuje poglądy natolińczyków oraz puławian,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ocenia postawy Józefa Cyrankiewicza i Władysława Gomułki wobec wydarzeń poznańskich na podstawie tekstów źródłowych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lastRenderedPageBreak/>
              <w:t>– porównuje przebieg i skutki  polskiego Czerwca i Października 1956 z powstaniem węgierskim z 1956 r.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lastRenderedPageBreak/>
              <w:t>– opisuje znaczenie wydarzeń październikowych 1956 r. z uwzględnieniem złożonej sytuacji międzynarodowej;</w:t>
            </w:r>
          </w:p>
        </w:tc>
      </w:tr>
      <w:tr w:rsidR="003D5D9D" w:rsidRPr="003D5D9D" w:rsidTr="003D5D9D">
        <w:trPr>
          <w:trHeight w:val="1266"/>
        </w:trPr>
        <w:tc>
          <w:tcPr>
            <w:tcW w:w="0" w:type="auto"/>
            <w:tcBorders>
              <w:left w:val="single" w:sz="4" w:space="0" w:color="000000"/>
              <w:right w:val="nil"/>
            </w:tcBorders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lastRenderedPageBreak/>
              <w:t>5. Mała stabilizacja za Gomułki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stosuje pojęcia: mała stabilizacja, , obchody Millennium Chrztu Polski, Grudzień ’70,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działalność postaci: Władysława Gomułki, Edwarda Gierka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wymienia wydarzenia związane z datami: marzec 1968 r., 17 grudnia 1970 r.,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przedstawia okoliczności </w:t>
            </w:r>
            <w:r w:rsidRPr="003D5D9D">
              <w:rPr>
                <w:rFonts w:ascii="Times New Roman" w:hAnsi="Times New Roman" w:cs="Times New Roman"/>
              </w:rPr>
              <w:br/>
              <w:t>i bezpośrednie przyczyny wydarzeń Marca ’68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przedstawia, jak przebiegały obchody Tysiąclecia Państwa Polskiego i tysięcznej rocznicy chrztu Polski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lastRenderedPageBreak/>
              <w:t>– stosuje pojęcia: opozycja wewnątrzpartyjna, paryska „Kultura”, antysemityzm, „czarny czwartek”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omawia działalność postaci: Willy’ego Brandta, Antoniego Słonimskiego, Jacka Kuronia, Adama Michnika,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wymienia wydarzenia związane z datami: 15–17 grudnia 1970 r.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sytuację gospodarczą z lat 1956–1970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określa stosunek władz PRL do inteligencji i młodzieży studenckiej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ocenia rolę Kościoła katolickiego w kształtowaniu oporu </w:t>
            </w:r>
            <w:r w:rsidRPr="003D5D9D">
              <w:rPr>
                <w:rFonts w:ascii="Times New Roman" w:hAnsi="Times New Roman" w:cs="Times New Roman"/>
              </w:rPr>
              <w:lastRenderedPageBreak/>
              <w:t>wobec władz PRL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wyjaśnia genezę Grudnia ’70 oraz opisuje przebieg wydarzeń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lastRenderedPageBreak/>
              <w:t>– stosuje pojęcia: plan Rapackiego, polska szkoła filmowa, dogmatycy, rewizjoniści, „Znak”, „komandosi”, list biskupów polskich do niemieckich, Marzec ’68, „bananowa młodzież”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omawia działalność postaci: Jerzego Giedroycia, Zbigniewa Cybulskiego, Andrzeja Wajdy, Kazimierza Dejmka, kard. Stefana Wyszyńskiego,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wymienia wydarzenia związane z datami: listopad 1965 r., 1966 r., styczeń 1968 r., 7 grudnia 1970 r.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ocenia zachowanie władz PRL i ZSRS w obliczu wydarzeń na Wybrzeżu w 1970 r.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opisuje pierwsze reakcje i działania tworzącej się opozycji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charakteryzuje przyczyny i narastanie konfliktu władz z Kościołem katolickim po umocnieniu się władzy Władysława Gomułki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opisuje najważniejsze wydarzenia procesu normalizacji relacji Polska–RFN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ocenia rolę Kościoła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katolickiego w kształtowaniu oporu wobec władz PRL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stosuje pojęcia: List 34,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działalność postaci: Jana Józefa Lipskiego, Karola Modzelewskiego, Adama Rapackiego, Piotra Jaroszewicza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</w:tr>
      <w:tr w:rsidR="003D5D9D" w:rsidRPr="003D5D9D" w:rsidTr="003D5D9D">
        <w:trPr>
          <w:trHeight w:val="1266"/>
        </w:trPr>
        <w:tc>
          <w:tcPr>
            <w:tcW w:w="0" w:type="auto"/>
            <w:tcBorders>
              <w:left w:val="single" w:sz="4" w:space="0" w:color="000000"/>
              <w:right w:val="nil"/>
            </w:tcBorders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lastRenderedPageBreak/>
              <w:t>6. Polska czasów Gierka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stosuje pojęcia i wyjaśnia skróty: „maluch”, „Pewex”, , KOR, drugi obieg, wiza,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omawia działalność postaci: Leonida Breżniewa, Edwarda Gierka, Jana </w:t>
            </w:r>
            <w:r w:rsidRPr="003D5D9D">
              <w:rPr>
                <w:rFonts w:ascii="Times New Roman" w:hAnsi="Times New Roman" w:cs="Times New Roman"/>
              </w:rPr>
              <w:br/>
              <w:t xml:space="preserve">Pawła II,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cechy ustroju politycznego i ekonomicznego Polski w czasie rządów Edwarda Gierka,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przedstawia prześladowania opozycji na przykładzie sprawy Stanisława Pyjasa,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rolę pierwszej pielgrzymki papieża Jana Pawła II do Polski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stosuje pojęcia i wyjaśnia skróty: propaganda sukcesu, Czerwiec ’76, , ROPCiO, Wolne Związki Zawodowe, konklawe,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wymienia wydarzenia związane z datami: czerwiec 1976 r., 16 października 1978 r., czerwiec 1979 r.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działalność postaci: Stanisława Pyjasa, Anny Walentynowicz,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tłumaczy, jakie były przyczyny powstania masowej opozycji antykomunistycznej w latach 70. XX w.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prezentuje okoliczności objęcia i umocnienia władzy Edwarda Gierka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wyjaśnia genezę oraz skutki przemian gospodarczych w czasach rządów Edwarda Gierka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cechy ustroju politycznego i ekonomicznego Polski w czasie rządów Edwarda Gierka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opisuje genezę, przebieg i skutki wydarzeń czerwcowych </w:t>
            </w:r>
            <w:r w:rsidRPr="003D5D9D">
              <w:rPr>
                <w:rFonts w:ascii="Times New Roman" w:hAnsi="Times New Roman" w:cs="Times New Roman"/>
              </w:rPr>
              <w:br/>
              <w:t>w 1976 r.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działalność postaci: Jacka Kuronia, Leszka Moczulskiego, Andrzeja Gwiazdy, Antoniego Macierewicza, Jana Lityńskiego, Adama Michnika, , Aleksandra Halla, Bogdana Borusewicza, omawia oraz wskazuje na mapie najważniejsze inwestycje gospodarcze z lat 1970–1980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wyjaśnia znaczenie terminów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i skrótów: Uniwersytet Latający, Kluby Inteligencji Katolickiej, KPN, RMP,, Studencki Komitet „Solidarności”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wymienia wydarzenia związane z latami: 1975 r., 1977 r.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omawia działalność postaci: Piotra Jaroszewicza, Zbigniewa Romaszewskiego, Edwarda Lipińskiego, Adama Michnika,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przytacza przykłady działań opozycyjnych w latach 70. XX w.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wymienia osiągnięcia polskich sportowców w okresie rządów Gierka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omawia działalność postaci: Kazimierza Świtonia, Zbigniewa Romaszewskiego, Edwarda Lipińskiego, Romualda Szeremietiewa, Aleksandra Halla, Bogdana Borusewicza, Kazimierza Wyszkowskiego, Leszka Moczulskiego, Wandy Rutkiewicz porównuje podobieństwa i różnice polityki władz PRL w stosunku do Kościoła za rządów Gomułki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i Gierka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</w:tr>
      <w:tr w:rsidR="003D5D9D" w:rsidRPr="003D5D9D" w:rsidTr="003D5D9D">
        <w:trPr>
          <w:trHeight w:val="1266"/>
        </w:trPr>
        <w:tc>
          <w:tcPr>
            <w:tcW w:w="0" w:type="auto"/>
            <w:tcBorders>
              <w:left w:val="single" w:sz="4" w:space="0" w:color="000000"/>
              <w:right w:val="nil"/>
            </w:tcBorders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lastRenderedPageBreak/>
              <w:t>7. Narodziny „Solidarności”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stosuje pojęcia: porozumienia sierpniowe, 21 postulatów, strajk solidarnościowy,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omawia działalność postaci: Wojciecha Jaruzelskiego, Lecha Wałęsy,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Jana Pawła II,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tłumaczy genezę wydarzeń sierpniowych w 1980 r.,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przedstawia przebieg procesu powstawania NSZZ „Solidarność”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wyjaśnia, na czym polegał fenomen popularności „Solidarności”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stosuje pojęcia: NSZZ „Solidarność”, „karnawał »Solidarności«”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omawia działalność postaci: Michaiła Gorbaczowa,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Anny Walentynowicz, Jerzego Popiełuszki, Czesława Miłosza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podaje daty podpisania porozumień w Szczecinie, Gdańsku i Jastrzębiu-Zdroju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przedstawia przebieg procesu powstawania NSZZ „Solidarność”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przedstawia ewolucję postawy władz komunistycznych do opozycji solidarnościowej </w:t>
            </w:r>
            <w:r w:rsidRPr="003D5D9D">
              <w:rPr>
                <w:rFonts w:ascii="Times New Roman" w:hAnsi="Times New Roman" w:cs="Times New Roman"/>
              </w:rPr>
              <w:br/>
              <w:t>w latach 1980–1981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działalność postaci: Czesława Kiszczaka, Ryszarda Kuklińskiego, Adama Michnika, Bronisława Geremka, Lecha Kaczyńskiego, Andrzeja Gwiazdy, Tadeusza Mazowieckiego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wymienia wydarzenia związane z datami: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17 września 1980 r., wrzesień–październik 1981 r.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omawia działalność postaci: Wojciecha Jagielskiego, Stanisława Kani, Mieczysława Rakowskiego,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opisuje wpływ sytuacji międzynarodowej na działalność „Solidarności” </w:t>
            </w:r>
            <w:r w:rsidRPr="003D5D9D">
              <w:rPr>
                <w:rFonts w:ascii="Times New Roman" w:hAnsi="Times New Roman" w:cs="Times New Roman"/>
              </w:rPr>
              <w:br/>
              <w:t>w Polsce w latach 1980–1981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przedstawia rolę płk. Ryszarda Kuklińskiego </w:t>
            </w:r>
            <w:r w:rsidRPr="003D5D9D">
              <w:rPr>
                <w:rFonts w:ascii="Times New Roman" w:hAnsi="Times New Roman" w:cs="Times New Roman"/>
              </w:rPr>
              <w:br/>
              <w:t xml:space="preserve">w kształtowaniu polityki Zachodu wobec Polski </w:t>
            </w:r>
            <w:r w:rsidRPr="003D5D9D">
              <w:rPr>
                <w:rFonts w:ascii="Times New Roman" w:hAnsi="Times New Roman" w:cs="Times New Roman"/>
              </w:rPr>
              <w:br/>
              <w:t xml:space="preserve">w okresie 1980–1981 </w:t>
            </w:r>
          </w:p>
        </w:tc>
      </w:tr>
      <w:tr w:rsidR="003D5D9D" w:rsidRPr="003D5D9D" w:rsidTr="003D5D9D">
        <w:trPr>
          <w:trHeight w:val="1266"/>
        </w:trPr>
        <w:tc>
          <w:tcPr>
            <w:tcW w:w="0" w:type="auto"/>
            <w:tcBorders>
              <w:left w:val="single" w:sz="4" w:space="0" w:color="000000"/>
              <w:right w:val="nil"/>
            </w:tcBorders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8. Stan wojenny w Polsce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stosuje pojęcia: stan wojenny, Wojskowa Rada Ocalenia Narodowego, internowanie,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omawia działalność postaci: Wojciecha Jaruzelskiego, Lecha Wałęsy,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wymienia wydarzenia związane </w:t>
            </w:r>
            <w:r w:rsidRPr="003D5D9D">
              <w:rPr>
                <w:rFonts w:ascii="Times New Roman" w:hAnsi="Times New Roman" w:cs="Times New Roman"/>
              </w:rPr>
              <w:lastRenderedPageBreak/>
              <w:t xml:space="preserve">z datami: </w:t>
            </w:r>
            <w:r w:rsidRPr="003D5D9D">
              <w:rPr>
                <w:rFonts w:ascii="Times New Roman" w:hAnsi="Times New Roman" w:cs="Times New Roman"/>
              </w:rPr>
              <w:br/>
              <w:t>13 grudnia 1981 r.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przedstawia okoliczności </w:t>
            </w:r>
            <w:r w:rsidRPr="003D5D9D">
              <w:rPr>
                <w:rFonts w:ascii="Times New Roman" w:hAnsi="Times New Roman" w:cs="Times New Roman"/>
              </w:rPr>
              <w:br/>
              <w:t>i przebieg wprowadzenia stanu wojennego,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omawia znaczenie pielgrzymek Jana Pawła II do Polski,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przedstawia sytuację gospodarczą lat 80. w PRL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lastRenderedPageBreak/>
              <w:t>– stosuje pojęcia: OPZZ, internowanie, pacyfikacja kopalni „Wujek”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omawia działalność postaci: Jerzego Popiełuszki, Tadeusza Mazowieckiego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wymienia wydarzenia związane z datami: 1980 r., 1983 r. i 1987 r.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przedstawia </w:t>
            </w:r>
            <w:r w:rsidRPr="003D5D9D">
              <w:rPr>
                <w:rFonts w:ascii="Times New Roman" w:hAnsi="Times New Roman" w:cs="Times New Roman"/>
              </w:rPr>
              <w:lastRenderedPageBreak/>
              <w:t xml:space="preserve">okoliczności </w:t>
            </w:r>
            <w:r w:rsidRPr="003D5D9D">
              <w:rPr>
                <w:rFonts w:ascii="Times New Roman" w:hAnsi="Times New Roman" w:cs="Times New Roman"/>
              </w:rPr>
              <w:br/>
              <w:t>i przebieg wprowadzenia stanu wojennego,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charakteryzuje społeczne </w:t>
            </w:r>
            <w:r w:rsidRPr="003D5D9D">
              <w:rPr>
                <w:rFonts w:ascii="Times New Roman" w:hAnsi="Times New Roman" w:cs="Times New Roman"/>
              </w:rPr>
              <w:br/>
              <w:t xml:space="preserve">i polityczne skutki wprowadzenia stanu wojennego,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przedstawia sytuację gospodarczą lat 80. w PRL, 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lastRenderedPageBreak/>
              <w:t xml:space="preserve">– stosuje pojęcia: wydarzenia bydgoskie, Pomarańczowa Alternatywa,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omawia działalność postaci: Czesława Kiszczaka, Ryszarda Kuklińskiego, Adama Michnika, Bronisława Geremka, Władysława Frasyniuka, Przemysława Gintrowskiego, Jacka </w:t>
            </w:r>
            <w:r w:rsidRPr="003D5D9D">
              <w:rPr>
                <w:rFonts w:ascii="Times New Roman" w:hAnsi="Times New Roman" w:cs="Times New Roman"/>
              </w:rPr>
              <w:lastRenderedPageBreak/>
              <w:t>Kaczmarskiego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wymienia wydarzenia związane z datami: 22 lipca 1983 r., 1983 r., 19 października 1984 r., 1988 r.,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plany reform gospodarczych podejmowanych przez władze komunistyczne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lastRenderedPageBreak/>
              <w:t>stosuje pojęcia: spotkanie w Magdalence, Pomarańczowa Alternatywa, ustawa Wilczka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omawia działalność postaci: Wojciecha Jagielskiego, Stanisława Kani, Czesława Kiszczaka, Ryszarda Kuklińskiego, Zbigniewa Messnera, Alfreda Miodowicza, Mieczysława Rakowskiego, Heleny Łuczywo, Waldemara </w:t>
            </w:r>
            <w:r w:rsidRPr="003D5D9D">
              <w:rPr>
                <w:rFonts w:ascii="Times New Roman" w:hAnsi="Times New Roman" w:cs="Times New Roman"/>
              </w:rPr>
              <w:lastRenderedPageBreak/>
              <w:t xml:space="preserve">Fydrycha,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opisuje przebieg wydarzeń polityczno-społecznych </w:t>
            </w:r>
            <w:r w:rsidRPr="003D5D9D">
              <w:rPr>
                <w:rFonts w:ascii="Times New Roman" w:hAnsi="Times New Roman" w:cs="Times New Roman"/>
              </w:rPr>
              <w:br/>
              <w:t>w Polsce w latach 1981–1989 na tle sytuacji międzynarodowej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lastRenderedPageBreak/>
              <w:t xml:space="preserve">– omawia rosnące różnice w stanowiskach działaczy „Solidarności” wobec władz komunistycznych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i planu porozumień politycznych w kraju w latach 1988–1989</w:t>
            </w:r>
          </w:p>
        </w:tc>
      </w:tr>
      <w:tr w:rsidR="003D5D9D" w:rsidRPr="003D5D9D" w:rsidTr="003D5D9D">
        <w:trPr>
          <w:trHeight w:val="1266"/>
        </w:trPr>
        <w:tc>
          <w:tcPr>
            <w:tcW w:w="0" w:type="auto"/>
            <w:tcBorders>
              <w:left w:val="single" w:sz="4" w:space="0" w:color="000000"/>
              <w:right w:val="nil"/>
            </w:tcBorders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lastRenderedPageBreak/>
              <w:t>1. Kryzys bloku komunistycznego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stosuje pojęcia: program „gwiezdnych wojen”, pierestrojka,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omawia działalność postaci: Ronalda Reagana, Michaiła Gorbaczowa,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przedstawia przejawy kryzysu ZSRS w latach 80.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prezentuje program reform Michaiła Gorbaczowa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stosuje pojęcia: głasnost, katastrofa czarnobylska, rakiety batalistyczne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wymienia wydarzenia związane z datami: 1979 r., 1981–1989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przedstawia przejawy kryzysu ZSRS w latach 80.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prezentuje polityczne następstwa katastrofy czarnobylskiej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opowiada o reformach wewnętrznych ZSRS wprowadzonych przez Gorbaczowa (głasnost</w:t>
            </w:r>
            <w:r w:rsidRPr="003D5D9D">
              <w:rPr>
                <w:rFonts w:ascii="Times New Roman" w:hAnsi="Times New Roman" w:cs="Times New Roman"/>
              </w:rPr>
              <w:br/>
              <w:t>i pieriestrojka)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wyjaśnia rolę konfliktu afgańskiego w procesie słabnięcia ZSRS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stosuje pojęcia: mudżahedini, talibowie, układy Salt 1 i Salt 2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działalność postaci: Helmuta Kohla, Margaret Thatcher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wymienia wydarzenia związane z datami: 1985 r., 1986 r.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międzynarodowe skutki kryzysu władzy w ZSRS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przedstawia rolę polityki zbrojeń USA </w:t>
            </w:r>
            <w:r w:rsidRPr="003D5D9D">
              <w:rPr>
                <w:rFonts w:ascii="Times New Roman" w:hAnsi="Times New Roman" w:cs="Times New Roman"/>
              </w:rPr>
              <w:br/>
              <w:t>i projektu „wojen gwiezdnych” dla załamania potencjału zbrojeniowego ZSRS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stosuje pojęcia: mudżahedini, talibowie, układy Salt 1 i Salt 2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omawia działalność postaci: Jimmiego Cartera, Jurija Andropowa, Konstantina Czernienki,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międzynarodowe skutki kryzysu władzy w ZSRS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</w:tr>
      <w:tr w:rsidR="003D5D9D" w:rsidRPr="003D5D9D" w:rsidTr="003D5D9D">
        <w:trPr>
          <w:trHeight w:val="1266"/>
        </w:trPr>
        <w:tc>
          <w:tcPr>
            <w:tcW w:w="0" w:type="auto"/>
            <w:tcBorders>
              <w:left w:val="single" w:sz="4" w:space="0" w:color="000000"/>
              <w:right w:val="nil"/>
            </w:tcBorders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lastRenderedPageBreak/>
              <w:t>2. Jesień Narodów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stosuje pojęcia: Jesień Narodów, upadek muru berlińskiego,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omawia działalność postaci: Ronalda Reagana, Michaiła Gorbaczowa, 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charakteryzuje najważniejsze wydarzenia procesu jednoczenia Niemiec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stosuje pojęcia: aksamitna rewolucja, „aksamitny rozwód”, masakra na placu Tiananmen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działalność postaci: Václava Havla, Helmuta Kohla, NikolaeCeauşescu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wymienia wydarzenia związane z datami: 25 grudnia 1989 r., 9 listopada 1989 r.–3 października </w:t>
            </w:r>
            <w:r w:rsidRPr="003D5D9D">
              <w:rPr>
                <w:rFonts w:ascii="Times New Roman" w:hAnsi="Times New Roman" w:cs="Times New Roman"/>
              </w:rPr>
              <w:br/>
              <w:t>1990 r.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charakteryzuje najważniejsze wydarzenia procesu jednoczenia Niemiec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wymienia wydarzenia związane z datami: 1 stycznia 1993 r., 22 maja 1988 r., 29 grudnia 1989 r., czerwiec 1990 r.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ocenia wpływ przemian politycznych w Polsce na proces rozpadu komunizmu w Europie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omawia przyczyny upadku komunizmu </w:t>
            </w:r>
            <w:r w:rsidRPr="003D5D9D">
              <w:rPr>
                <w:rFonts w:ascii="Times New Roman" w:hAnsi="Times New Roman" w:cs="Times New Roman"/>
              </w:rPr>
              <w:br/>
              <w:t>w Europie w latach 1989–1991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stosuje pojęcia: Węgierskie Forum Demokratyczne, Trójkątny Stół,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porównuje burzliwy przebieg upadku reżimu komunistycznego w Rumunii </w:t>
            </w:r>
            <w:r w:rsidRPr="003D5D9D">
              <w:rPr>
                <w:rFonts w:ascii="Times New Roman" w:hAnsi="Times New Roman" w:cs="Times New Roman"/>
              </w:rPr>
              <w:br/>
              <w:t xml:space="preserve">i Albanii </w:t>
            </w:r>
            <w:r w:rsidRPr="003D5D9D">
              <w:rPr>
                <w:rFonts w:ascii="Times New Roman" w:hAnsi="Times New Roman" w:cs="Times New Roman"/>
              </w:rPr>
              <w:br/>
              <w:t xml:space="preserve">z pokojowymi przemianami </w:t>
            </w:r>
            <w:r w:rsidRPr="003D5D9D">
              <w:rPr>
                <w:rFonts w:ascii="Times New Roman" w:hAnsi="Times New Roman" w:cs="Times New Roman"/>
              </w:rPr>
              <w:br/>
              <w:t xml:space="preserve">w Czechosłowacji </w:t>
            </w:r>
            <w:r w:rsidRPr="003D5D9D">
              <w:rPr>
                <w:rFonts w:ascii="Times New Roman" w:hAnsi="Times New Roman" w:cs="Times New Roman"/>
              </w:rPr>
              <w:br/>
              <w:t>i na Węgrzech,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opisuje okoliczności </w:t>
            </w:r>
            <w:r w:rsidRPr="003D5D9D">
              <w:rPr>
                <w:rFonts w:ascii="Times New Roman" w:hAnsi="Times New Roman" w:cs="Times New Roman"/>
              </w:rPr>
              <w:br/>
              <w:t>i skutki rozpadu Czechosłowacji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charakteryzuje zmiany społeczne </w:t>
            </w:r>
            <w:r w:rsidRPr="003D5D9D">
              <w:rPr>
                <w:rFonts w:ascii="Times New Roman" w:hAnsi="Times New Roman" w:cs="Times New Roman"/>
              </w:rPr>
              <w:br/>
              <w:t>i gospodarcze w Chinach po śmierci Mao Zedonga z uwzględnieniem masakry na placu Tiananmen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</w:tr>
      <w:tr w:rsidR="003D5D9D" w:rsidRPr="003D5D9D" w:rsidTr="003D5D9D">
        <w:trPr>
          <w:trHeight w:val="1266"/>
        </w:trPr>
        <w:tc>
          <w:tcPr>
            <w:tcW w:w="0" w:type="auto"/>
            <w:tcBorders>
              <w:left w:val="single" w:sz="4" w:space="0" w:color="000000"/>
              <w:right w:val="nil"/>
            </w:tcBorders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3. Wojna i pokój na przełomie wieków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stosuje pojęcia: WNP, wojny czeczeńskie,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omawia działalność postaci: Borysa Jelcyna, Alaksandra Łukaszenki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zmiany polityczne na terenie Ukrainy i kształtowanie się silnej, niezależnej od Rosji państwowości ukraińskiej,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wskazuje na mapie: Jugosławię, Serbię,  </w:t>
            </w:r>
            <w:r w:rsidRPr="003D5D9D">
              <w:rPr>
                <w:rFonts w:ascii="Times New Roman" w:hAnsi="Times New Roman" w:cs="Times New Roman"/>
              </w:rPr>
              <w:lastRenderedPageBreak/>
              <w:t>Słowenię, Chorwację, Bośnię i Hercegowinę, Macedonię, Czeczenię. Mołdawię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lastRenderedPageBreak/>
              <w:t xml:space="preserve">stosuje pojęcia: pomarańczowa rewolucja, Euromajdan,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omawia działalność postaci: Giennadija Janajewa, Dżohara Dudajewa, 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wymienia wydarzenia związane z datami: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8 grudnia 1991 r., 26 grudnia 1991 r.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charakteryzuje proces rozpadu ZSRS i określa jego następstwa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przedstawia przebieg wojen czeczeńskich i </w:t>
            </w:r>
            <w:r w:rsidRPr="003D5D9D">
              <w:rPr>
                <w:rFonts w:ascii="Times New Roman" w:hAnsi="Times New Roman" w:cs="Times New Roman"/>
              </w:rPr>
              <w:lastRenderedPageBreak/>
              <w:t>ich rezultaty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wskazuje na mapie: Czarnogórę, Kosowo, 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lastRenderedPageBreak/>
              <w:t xml:space="preserve">– omawia działalność postaci: Stanisława Szuszkiewicza, Leonida Kuczmy,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wymienia wydarzenia związane z datami: 1988–1994, 1990, 1999, 2000, 2004, 11 marca </w:t>
            </w:r>
            <w:r w:rsidRPr="003D5D9D">
              <w:rPr>
                <w:rFonts w:ascii="Times New Roman" w:hAnsi="Times New Roman" w:cs="Times New Roman"/>
              </w:rPr>
              <w:br/>
              <w:t xml:space="preserve">1990 r.,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charakteryzuje postanowienia umowy z Dayton </w:t>
            </w:r>
            <w:r w:rsidRPr="003D5D9D">
              <w:rPr>
                <w:rFonts w:ascii="Times New Roman" w:hAnsi="Times New Roman" w:cs="Times New Roman"/>
              </w:rPr>
              <w:br/>
              <w:t xml:space="preserve">i układu paryskiego </w:t>
            </w:r>
            <w:r w:rsidRPr="003D5D9D">
              <w:rPr>
                <w:rFonts w:ascii="Times New Roman" w:hAnsi="Times New Roman" w:cs="Times New Roman"/>
              </w:rPr>
              <w:br/>
              <w:t>z 1995 r.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opisuje konflikty na terenie byłej Jugosławii i </w:t>
            </w:r>
            <w:r w:rsidRPr="003D5D9D">
              <w:rPr>
                <w:rFonts w:ascii="Times New Roman" w:hAnsi="Times New Roman" w:cs="Times New Roman"/>
              </w:rPr>
              <w:lastRenderedPageBreak/>
              <w:t>podaje ich wyniki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lastRenderedPageBreak/>
              <w:t>– omawia działalność postaci: Achmada i Ramzana Kadyrowów, Slobodana Miloševicia prezentuje zróżnicowane losy państw postsowieckich i próby stworzenia rosyjskiej strefy wpływów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omawia genezę oraz przebieg konflikt pomiędzy Tutsi i Hutu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przedstawia przebieg konfliktu azersko-ormiańskiego o Górski Karabach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przedstawia przyczyny i skutki terroryzmu Czeczenów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</w:tr>
      <w:tr w:rsidR="003D5D9D" w:rsidRPr="003D5D9D" w:rsidTr="003D5D9D">
        <w:trPr>
          <w:trHeight w:val="1266"/>
        </w:trPr>
        <w:tc>
          <w:tcPr>
            <w:tcW w:w="0" w:type="auto"/>
            <w:tcBorders>
              <w:left w:val="single" w:sz="4" w:space="0" w:color="000000"/>
              <w:right w:val="nil"/>
            </w:tcBorders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lastRenderedPageBreak/>
              <w:t>4. Integracja europejska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3D5D9D">
              <w:rPr>
                <w:rFonts w:ascii="Times New Roman" w:hAnsi="Times New Roman" w:cs="Times New Roman"/>
              </w:rPr>
              <w:t>Problemy współczesnego świata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stosuje pojęcia: Unia Europejska, układ </w:t>
            </w:r>
            <w:r w:rsidRPr="003D5D9D">
              <w:rPr>
                <w:rFonts w:ascii="Times New Roman" w:hAnsi="Times New Roman" w:cs="Times New Roman"/>
              </w:rPr>
              <w:br/>
              <w:t xml:space="preserve">z Schengen,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wymienia wydarzenia związane z latami: 2004 r.,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podaje przyczyny integracji europejskiej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przedstawia etapy tworzenia Unii Europejskiej</w:t>
            </w:r>
          </w:p>
          <w:p w:rsid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symbole UE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stosuje pojęcia: internet, telefonia komórkowa, komercjalizacja, popkultura, Al-Kaida, Państwo Islamskie (ISIS),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działalność postaci: George’a W. Busha, Osamy bin Ladena,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wymienia wydarzenia związane z datami: 11 września 2001 r.,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lastRenderedPageBreak/>
              <w:t>– wskazuje cechy współczesnej kultury masowej,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zagrożenia wynikające z działalności Państwa Islamskiego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lastRenderedPageBreak/>
              <w:t>– stosuje pojęcia: Komisja Europejska, Parlament Europejski, grupa helsińska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wymienia wydarzenia związane z latami: 1993 r., 2020 r.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wskazuje na mapie państwa należące do różnych wspólnot europejskich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proces stopniowego rozszerzania UE</w:t>
            </w:r>
          </w:p>
          <w:p w:rsid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charakteryzuje znaczenie układu z Schengen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stosuje pojęcia: amerykanizacja, „globalna wioska”, antyglobaliści, slumsy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- omawia znaczenie wydarzeń z 11 marca 2004 r. i 7 lipca 2005 r.,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zalety i wady nowych środków komunikacji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charakteryzuje zagrożenia współczesnego </w:t>
            </w:r>
            <w:r w:rsidRPr="003D5D9D">
              <w:rPr>
                <w:rFonts w:ascii="Times New Roman" w:hAnsi="Times New Roman" w:cs="Times New Roman"/>
              </w:rPr>
              <w:lastRenderedPageBreak/>
              <w:t xml:space="preserve">terroryzmu,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ataki terrorystyczne na WTC, kolej w Madrycie i londyńskie metro,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wymienia czynniki związane ze współczesną gospodarką światową, które negatywnie wpływają na stan środowiska naturalnego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lastRenderedPageBreak/>
              <w:t xml:space="preserve">– ocenia przyczyny </w:t>
            </w:r>
            <w:r w:rsidRPr="003D5D9D">
              <w:rPr>
                <w:rFonts w:ascii="Times New Roman" w:hAnsi="Times New Roman" w:cs="Times New Roman"/>
              </w:rPr>
              <w:br/>
              <w:t>i znaczenie brexitu</w:t>
            </w:r>
          </w:p>
          <w:p w:rsid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wymienia podstawowe instytucje Unii Europejskiej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stosuje pojęcia: Anonymous, protokół z Kioto, slumsy, bogata Północ i biedne Południe, fundamentalizm,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przedstawia główne społeczno-gospodarcze problemy współczesnego świata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prezentuje zagrożenia ekologiczne współczesnego świata,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ocenia rozwój kultury masowej, prezentując jej wady i zalety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wymienia wydarzenia związane z datami: 26 marca 1995 r., 16 grudnia 1991 r., 8 kwietnia 1994 r., 16 kwietnia 2003 r.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przedstawia postulaty antyglobalistów i je ocenia,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omawia przebieg konfliktu na Bliskim Wschodzie po 2001 r.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charakteryzuje różne koncepcje integracji Unii Europejskiej: „Europa ojczyzn” i federacja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wpływ kapitału na politykę we współczesnym świecie,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przedstawia udział Polaków w wojnie w Iraku i w Afganistanie</w:t>
            </w:r>
          </w:p>
        </w:tc>
      </w:tr>
      <w:tr w:rsidR="003D5D9D" w:rsidRPr="003D5D9D" w:rsidTr="003D5D9D">
        <w:trPr>
          <w:trHeight w:val="416"/>
        </w:trPr>
        <w:tc>
          <w:tcPr>
            <w:tcW w:w="0" w:type="auto"/>
            <w:tcBorders>
              <w:left w:val="single" w:sz="4" w:space="0" w:color="000000"/>
              <w:right w:val="nil"/>
            </w:tcBorders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lastRenderedPageBreak/>
              <w:t>1. Okrągły Stół i wybory czerwcowe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stosuje pojęcia: Okrągły Stół,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omawia działalność postaci: Lecha Wałęsy,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podaje główne założenia porozumień Okrągłego Stołu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stosuje pojęcia: sejm kontraktowy, wybory czerwcowe,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działalność postaci: Tadeusza Mazowieckiego,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wymienia wydarzenia związane z datami: </w:t>
            </w:r>
            <w:r w:rsidRPr="003D5D9D">
              <w:rPr>
                <w:rFonts w:ascii="Times New Roman" w:hAnsi="Times New Roman" w:cs="Times New Roman"/>
              </w:rPr>
              <w:br/>
              <w:t xml:space="preserve">5 kwietnia 1989 r., </w:t>
            </w:r>
            <w:r w:rsidRPr="003D5D9D">
              <w:rPr>
                <w:rFonts w:ascii="Times New Roman" w:hAnsi="Times New Roman" w:cs="Times New Roman"/>
              </w:rPr>
              <w:br/>
              <w:t>4 czerwca 1989 r.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dostrzega znaczenie powstania niezależnej prasy,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zna okoliczności objęcia stanowiska prezydenta przez Wojciecha Jaruzelskiego,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prezentuje zasady i najważniejsze skutki wyborów,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z 4 czerwca 1989 r.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omawia działalność postaci: Czesława Kiszczaka, Andrzeja Gwiazdy, Kornela Morawieckiego, Leszka Moczulskiego, Adama Michnika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przedstawia podział obozu solidarnościowego i różne oceny przemian z 1989 r.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</w:tr>
      <w:tr w:rsidR="003D5D9D" w:rsidRPr="003D5D9D" w:rsidTr="003D5D9D">
        <w:trPr>
          <w:trHeight w:val="1266"/>
        </w:trPr>
        <w:tc>
          <w:tcPr>
            <w:tcW w:w="0" w:type="auto"/>
            <w:tcBorders>
              <w:left w:val="single" w:sz="4" w:space="0" w:color="000000"/>
              <w:right w:val="nil"/>
            </w:tcBorders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2. Przemiany polityczne i ustrojowe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stosuje pojęcia:  lustracja, dekomunizacja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omawia działalność postaci: Tadeusza Mazowieckiego, Leszka Balcerowicza, Lecha Wałęsy,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charakteryzuje zmiany ustrojowe wprowadzone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lastRenderedPageBreak/>
              <w:t>w grudniu 1989 r.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opisuje okoliczności wycofania wojsk sowieckich z Polski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lastRenderedPageBreak/>
              <w:t xml:space="preserve">– stosuje pojęcia: „wojna na górze”,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działalność postaci: Lecha Kaczyńskiego, Aleksandra Kwaśniewskiego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charakteryzuje zmiany ustrojowe wprowadzone </w:t>
            </w:r>
            <w:r w:rsidRPr="003D5D9D">
              <w:rPr>
                <w:rFonts w:ascii="Times New Roman" w:hAnsi="Times New Roman" w:cs="Times New Roman"/>
              </w:rPr>
              <w:br/>
              <w:t>w grudniu 1989 r.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wymienia wydarzenia związane z datami: 22 grudnia 1990 r., 1991 r.,1992 r., 2 kwietnia 1997 r.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przedstawia scenę polityczną III RP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omawia przebieg </w:t>
            </w:r>
            <w:r w:rsidRPr="003D5D9D">
              <w:rPr>
                <w:rFonts w:ascii="Times New Roman" w:hAnsi="Times New Roman" w:cs="Times New Roman"/>
              </w:rPr>
              <w:br/>
              <w:t>i znaczenie reformy samorządowej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przedstawia reformę administracyjną kraju z </w:t>
            </w:r>
            <w:r w:rsidRPr="003D5D9D">
              <w:rPr>
                <w:rFonts w:ascii="Times New Roman" w:hAnsi="Times New Roman" w:cs="Times New Roman"/>
              </w:rPr>
              <w:lastRenderedPageBreak/>
              <w:t>1999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lastRenderedPageBreak/>
              <w:t>stosuje pojęcia i rozwija skróty: PC, BBWR, KPN, UOP, WSI, SDRP, SLD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działalność postaci: Czesława Kiszczaka, Floriana Siwickiego, Zbigniewa Bujaka, Jarosława Kaczyńskiego, Leszka Millera, Waldemara Pawlaka, Ryszarda Kaczorowskiego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i ocenia zmiany w strukturach resortów siłowych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opisuje proces transformacji polskiej lewicy </w:t>
            </w:r>
            <w:r w:rsidRPr="003D5D9D">
              <w:rPr>
                <w:rFonts w:ascii="Times New Roman" w:hAnsi="Times New Roman" w:cs="Times New Roman"/>
              </w:rPr>
              <w:br/>
              <w:t xml:space="preserve">i przyczyny jej zwycięstwa wyborczego w latach 90.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</w:tr>
      <w:tr w:rsidR="003D5D9D" w:rsidRPr="003D5D9D" w:rsidTr="003D5D9D">
        <w:trPr>
          <w:trHeight w:val="1266"/>
        </w:trPr>
        <w:tc>
          <w:tcPr>
            <w:tcW w:w="0" w:type="auto"/>
            <w:tcBorders>
              <w:left w:val="single" w:sz="4" w:space="0" w:color="000000"/>
              <w:right w:val="nil"/>
            </w:tcBorders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lastRenderedPageBreak/>
              <w:t xml:space="preserve">3. </w:t>
            </w:r>
            <w:r>
              <w:rPr>
                <w:rFonts w:ascii="Times New Roman" w:hAnsi="Times New Roman" w:cs="Times New Roman"/>
              </w:rPr>
              <w:t>III RP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stosuje pojęcia: hiperinflacja,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działalność postaci: Leszka Balcerowicza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charakteryzuje zjawisko hiperinflacji i metody walki </w:t>
            </w:r>
            <w:r w:rsidRPr="003D5D9D">
              <w:rPr>
                <w:rFonts w:ascii="Times New Roman" w:hAnsi="Times New Roman" w:cs="Times New Roman"/>
              </w:rPr>
              <w:br/>
              <w:t>z nią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wyjaśnia wydarzenia związane z datami: 12 marca 1999 r., 1 maja 2004 r., </w:t>
            </w:r>
            <w:r w:rsidRPr="003D5D9D">
              <w:rPr>
                <w:rFonts w:ascii="Times New Roman" w:hAnsi="Times New Roman" w:cs="Times New Roman"/>
              </w:rPr>
              <w:br/>
              <w:t xml:space="preserve">2007 r.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omawia proces przyjmowania Polski do struktur NATO oraz rolę w strukturach tej organizacji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wymienia kraje wchodzące w skład Trójkąta Weimarskiego i Grupy Wyszehradzkiej</w:t>
            </w: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stosuje pojęcia: reformy Balcerowicza, gospodarka wolnorynkowa, popiwek, bezrobocie strukturalne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przedstawia założenia planu Balcerowicza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charakteryzuje pozytywne </w:t>
            </w:r>
            <w:r w:rsidRPr="003D5D9D">
              <w:rPr>
                <w:rFonts w:ascii="Times New Roman" w:hAnsi="Times New Roman" w:cs="Times New Roman"/>
              </w:rPr>
              <w:br/>
              <w:t>i negatywne skutki transformacji społeczno-gospodarczej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działalność postaci: Jerzego Buzka, Leszka Millera, Aleksandra Kwaśniewskiego, Bronisława Geremka,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przedstawia proces rozpadu instytucji dawnego bloku wschodniego w Europie Środkowo-Wschodniej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stosuje pojęcia: gospodarka wielosektorowa, biedaszyby, denominacja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umiejscawia </w:t>
            </w:r>
            <w:r w:rsidRPr="003D5D9D">
              <w:rPr>
                <w:rFonts w:ascii="Times New Roman" w:hAnsi="Times New Roman" w:cs="Times New Roman"/>
              </w:rPr>
              <w:br/>
              <w:t xml:space="preserve">w czasie: reformy Balcerowicza, wprowadzenie denominacji 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stosuje pojęcia: Grupa Wyszehradzka, Trójkąt Weimarski, strefa Schengen, traktat akcesyjny, program dopłat bezpośrednich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omawia znaczenie prywatyzacji </w:t>
            </w:r>
            <w:r w:rsidRPr="003D5D9D">
              <w:rPr>
                <w:rFonts w:ascii="Times New Roman" w:hAnsi="Times New Roman" w:cs="Times New Roman"/>
              </w:rPr>
              <w:br/>
              <w:t>i skutki reform społeczno-gospodarczych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omawia znaczenie funkcjonowania Polski w ramach strefy Schengen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 xml:space="preserve">– wyjaśnia związek reform gospodarczych </w:t>
            </w:r>
            <w:r w:rsidRPr="003D5D9D">
              <w:rPr>
                <w:rFonts w:ascii="Times New Roman" w:hAnsi="Times New Roman" w:cs="Times New Roman"/>
              </w:rPr>
              <w:br/>
              <w:t>z aferami gospodarczymi w latach 90. w Polsce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  <w:r w:rsidRPr="003D5D9D">
              <w:rPr>
                <w:rFonts w:ascii="Times New Roman" w:hAnsi="Times New Roman" w:cs="Times New Roman"/>
              </w:rPr>
              <w:t>– charakteryzuje pozytywne i negatywne skutki integracji Polski z UE</w:t>
            </w:r>
          </w:p>
          <w:p w:rsidR="003D5D9D" w:rsidRPr="003D5D9D" w:rsidRDefault="003D5D9D" w:rsidP="003D5D9D">
            <w:pPr>
              <w:pStyle w:val="Bezodstpw"/>
              <w:rPr>
                <w:rFonts w:ascii="Times New Roman" w:hAnsi="Times New Roman" w:cs="Times New Roman"/>
              </w:rPr>
            </w:pPr>
          </w:p>
        </w:tc>
      </w:tr>
    </w:tbl>
    <w:p w:rsidR="00A41F80" w:rsidRPr="003D5D9D" w:rsidRDefault="00A41F80" w:rsidP="003D5D9D"/>
    <w:p w:rsidR="0005400F" w:rsidRPr="0066452D" w:rsidRDefault="0005400F" w:rsidP="0005400F">
      <w:pPr>
        <w:pStyle w:val="Bezodstpw"/>
        <w:rPr>
          <w:rFonts w:ascii="Times New Roman" w:hAnsi="Times New Roman" w:cs="Times New Roman"/>
          <w:sz w:val="24"/>
          <w:szCs w:val="24"/>
        </w:rPr>
      </w:pPr>
      <w:bookmarkStart w:id="1" w:name="_Hlk207748570"/>
      <w:r w:rsidRPr="0066452D">
        <w:rPr>
          <w:rFonts w:ascii="Times New Roman" w:hAnsi="Times New Roman" w:cs="Times New Roman"/>
          <w:sz w:val="24"/>
          <w:szCs w:val="24"/>
        </w:rPr>
        <w:lastRenderedPageBreak/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05400F" w:rsidRPr="0066452D" w:rsidRDefault="0005400F" w:rsidP="0005400F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05400F" w:rsidRPr="0066452D" w:rsidRDefault="0005400F" w:rsidP="0005400F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:rsidR="0005400F" w:rsidRPr="0066452D" w:rsidRDefault="0005400F" w:rsidP="0005400F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05400F" w:rsidRPr="0066452D" w:rsidRDefault="0005400F" w:rsidP="0005400F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2) posiadającego orzeczenie o potrzebie indywidualnego nauczania – na podstawie tego orzeczenia,</w:t>
      </w:r>
    </w:p>
    <w:p w:rsidR="0005400F" w:rsidRPr="0066452D" w:rsidRDefault="0005400F" w:rsidP="0005400F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05400F" w:rsidRPr="0066452D" w:rsidRDefault="0005400F" w:rsidP="0005400F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05400F" w:rsidRPr="0066452D" w:rsidRDefault="0005400F" w:rsidP="0005400F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05400F" w:rsidRPr="0066452D" w:rsidRDefault="0005400F" w:rsidP="0005400F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05400F" w:rsidRPr="0066452D" w:rsidRDefault="0005400F" w:rsidP="0005400F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05400F" w:rsidRPr="0066452D" w:rsidRDefault="0005400F" w:rsidP="0005400F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</w:t>
      </w:r>
    </w:p>
    <w:p w:rsidR="0005400F" w:rsidRPr="0066452D" w:rsidRDefault="0005400F" w:rsidP="0005400F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05400F" w:rsidRPr="0066452D" w:rsidRDefault="0005400F" w:rsidP="0005400F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Szczegółowe opisy dostosowań są ujęte w dokumentacji pomocy pedagogiczno- psychologicznej.</w:t>
      </w:r>
    </w:p>
    <w:p w:rsidR="0005400F" w:rsidRPr="0066452D" w:rsidRDefault="0005400F" w:rsidP="0005400F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 </w:t>
      </w:r>
    </w:p>
    <w:p w:rsidR="0005400F" w:rsidRPr="0066452D" w:rsidRDefault="0005400F" w:rsidP="0005400F">
      <w:pPr>
        <w:pStyle w:val="Bezodstpw"/>
        <w:rPr>
          <w:rFonts w:ascii="Times New Roman" w:hAnsi="Times New Roman" w:cs="Times New Roman"/>
          <w:b/>
          <w:bCs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 xml:space="preserve">Wymagania edukacyjne zostały opracowane przez </w:t>
      </w:r>
      <w:r w:rsidRPr="0066452D">
        <w:rPr>
          <w:rFonts w:ascii="Times New Roman" w:hAnsi="Times New Roman" w:cs="Times New Roman"/>
          <w:b/>
          <w:bCs/>
          <w:sz w:val="24"/>
          <w:szCs w:val="24"/>
        </w:rPr>
        <w:t>dra Jakuba Bulzaka</w:t>
      </w:r>
    </w:p>
    <w:p w:rsidR="0005400F" w:rsidRPr="0066452D" w:rsidRDefault="0005400F" w:rsidP="0005400F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05400F" w:rsidRPr="0066452D" w:rsidRDefault="0005400F" w:rsidP="0005400F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05400F" w:rsidRPr="0066452D" w:rsidRDefault="0005400F" w:rsidP="0005400F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05400F" w:rsidRPr="0066452D" w:rsidRDefault="0005400F" w:rsidP="0005400F">
      <w:pPr>
        <w:pStyle w:val="Akapitzlist"/>
        <w:widowControl w:val="0"/>
        <w:numPr>
          <w:ilvl w:val="0"/>
          <w:numId w:val="41"/>
        </w:numPr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sz w:val="32"/>
          <w:szCs w:val="32"/>
        </w:rPr>
      </w:pPr>
      <w:r w:rsidRPr="0066452D">
        <w:rPr>
          <w:rFonts w:ascii="Times New Roman" w:hAnsi="Times New Roman" w:cs="Times New Roman"/>
          <w:sz w:val="32"/>
          <w:szCs w:val="32"/>
        </w:rPr>
        <w:t>Sposoby sprawdzaniaosiągnięćedukacyjnychuczniów</w:t>
      </w:r>
    </w:p>
    <w:p w:rsidR="0005400F" w:rsidRPr="0066452D" w:rsidRDefault="0005400F" w:rsidP="0005400F">
      <w:pPr>
        <w:rPr>
          <w:rFonts w:ascii="Times New Roman" w:hAnsi="Times New Roman" w:cs="Times New Roman"/>
          <w:sz w:val="24"/>
          <w:szCs w:val="24"/>
        </w:rPr>
      </w:pPr>
    </w:p>
    <w:p w:rsidR="0005400F" w:rsidRPr="0066452D" w:rsidRDefault="0005400F" w:rsidP="0005400F">
      <w:pPr>
        <w:pStyle w:val="Bezodstpw"/>
        <w:widowControl w:val="0"/>
        <w:numPr>
          <w:ilvl w:val="0"/>
          <w:numId w:val="42"/>
        </w:numPr>
        <w:autoSpaceDE w:val="0"/>
        <w:autoSpaceDN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6452D">
        <w:rPr>
          <w:rFonts w:ascii="Times New Roman" w:hAnsi="Times New Roman" w:cs="Times New Roman"/>
          <w:bCs/>
          <w:sz w:val="24"/>
          <w:szCs w:val="24"/>
        </w:rPr>
        <w:t>Przedmiotem oceny są:</w:t>
      </w:r>
    </w:p>
    <w:p w:rsidR="0005400F" w:rsidRPr="0066452D" w:rsidRDefault="0005400F" w:rsidP="0005400F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- wiadomości (określone w podstawie programowej)</w:t>
      </w:r>
    </w:p>
    <w:p w:rsidR="0005400F" w:rsidRPr="0066452D" w:rsidRDefault="0005400F" w:rsidP="0005400F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- umiejętności (praca z mapą, podręcznikiem, źródłem historycznym, materiałami ikonograficznymi, filmem)</w:t>
      </w:r>
    </w:p>
    <w:p w:rsidR="0005400F" w:rsidRPr="0066452D" w:rsidRDefault="0005400F" w:rsidP="0005400F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lastRenderedPageBreak/>
        <w:t>- zaangażowanie w proces uczenia się (aktywność)</w:t>
      </w:r>
    </w:p>
    <w:p w:rsidR="0005400F" w:rsidRPr="0066452D" w:rsidRDefault="0005400F" w:rsidP="0005400F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05400F" w:rsidRPr="0066452D" w:rsidRDefault="0005400F" w:rsidP="0005400F">
      <w:pPr>
        <w:pStyle w:val="Bezodstpw"/>
        <w:widowControl w:val="0"/>
        <w:numPr>
          <w:ilvl w:val="0"/>
          <w:numId w:val="42"/>
        </w:numPr>
        <w:autoSpaceDE w:val="0"/>
        <w:autoSpaceDN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6452D">
        <w:rPr>
          <w:rFonts w:ascii="Times New Roman" w:hAnsi="Times New Roman" w:cs="Times New Roman"/>
          <w:bCs/>
          <w:sz w:val="24"/>
          <w:szCs w:val="24"/>
        </w:rPr>
        <w:t>Ocenie podlega:</w:t>
      </w:r>
    </w:p>
    <w:p w:rsidR="0005400F" w:rsidRPr="0066452D" w:rsidRDefault="0005400F" w:rsidP="0005400F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- stopień opanowania materiału faktograficznego</w:t>
      </w:r>
    </w:p>
    <w:p w:rsidR="0005400F" w:rsidRPr="0066452D" w:rsidRDefault="0005400F" w:rsidP="0005400F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- dostrzeganie związków przyczynowo-skutkowych</w:t>
      </w:r>
    </w:p>
    <w:p w:rsidR="0005400F" w:rsidRPr="0066452D" w:rsidRDefault="0005400F" w:rsidP="0005400F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- poprawność stylistyczna wypowiedzi</w:t>
      </w:r>
    </w:p>
    <w:p w:rsidR="0005400F" w:rsidRPr="0066452D" w:rsidRDefault="0005400F" w:rsidP="0005400F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- stopień zrozumienia tematu</w:t>
      </w:r>
    </w:p>
    <w:p w:rsidR="0005400F" w:rsidRPr="0066452D" w:rsidRDefault="0005400F" w:rsidP="0005400F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- znajomość chronologii, pojęć, terminów i postaci z zakresu przedmiotu</w:t>
      </w:r>
    </w:p>
    <w:p w:rsidR="0005400F" w:rsidRPr="0066452D" w:rsidRDefault="0005400F" w:rsidP="0005400F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- umiejętność korzystania z różnych źródeł informacji</w:t>
      </w:r>
    </w:p>
    <w:p w:rsidR="0005400F" w:rsidRPr="0066452D" w:rsidRDefault="0005400F" w:rsidP="0005400F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- umiejętność pracy ze źródłem historycznym i mapą</w:t>
      </w:r>
    </w:p>
    <w:p w:rsidR="0005400F" w:rsidRPr="0066452D" w:rsidRDefault="0005400F" w:rsidP="0005400F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- umiejętność porównywania, dostrzegania podobieństw i różnic w procesie dziejowym</w:t>
      </w:r>
    </w:p>
    <w:p w:rsidR="0005400F" w:rsidRPr="0066452D" w:rsidRDefault="0005400F" w:rsidP="0005400F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05400F" w:rsidRPr="0066452D" w:rsidRDefault="0005400F" w:rsidP="0005400F">
      <w:pPr>
        <w:pStyle w:val="Bezodstpw"/>
        <w:widowControl w:val="0"/>
        <w:numPr>
          <w:ilvl w:val="0"/>
          <w:numId w:val="42"/>
        </w:numPr>
        <w:autoSpaceDE w:val="0"/>
        <w:autoSpaceDN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6452D">
        <w:rPr>
          <w:rFonts w:ascii="Times New Roman" w:hAnsi="Times New Roman" w:cs="Times New Roman"/>
          <w:bCs/>
          <w:sz w:val="24"/>
          <w:szCs w:val="24"/>
        </w:rPr>
        <w:t>Narzędzia pomiaru osiągnięć uczniów:</w:t>
      </w:r>
    </w:p>
    <w:p w:rsidR="0005400F" w:rsidRPr="0066452D" w:rsidRDefault="0005400F" w:rsidP="0005400F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- sprawdziany i testy obejmujące całość zrealizowanego zagadnienia, np. epoki, działu w podręczniku</w:t>
      </w:r>
    </w:p>
    <w:p w:rsidR="0005400F" w:rsidRPr="0066452D" w:rsidRDefault="0005400F" w:rsidP="0005400F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- kartkówki obejmujące wiadomości z 3 ostatnich lekcji</w:t>
      </w:r>
    </w:p>
    <w:p w:rsidR="0005400F" w:rsidRPr="0066452D" w:rsidRDefault="0005400F" w:rsidP="0005400F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- wypowiedź ustna</w:t>
      </w:r>
    </w:p>
    <w:p w:rsidR="0005400F" w:rsidRPr="0066452D" w:rsidRDefault="0005400F" w:rsidP="0005400F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- pisemne prace domowe</w:t>
      </w:r>
    </w:p>
    <w:p w:rsidR="0005400F" w:rsidRPr="0066452D" w:rsidRDefault="0005400F" w:rsidP="0005400F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- referaty</w:t>
      </w:r>
    </w:p>
    <w:p w:rsidR="0005400F" w:rsidRPr="0066452D" w:rsidRDefault="0005400F" w:rsidP="0005400F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- projekty</w:t>
      </w:r>
    </w:p>
    <w:p w:rsidR="0005400F" w:rsidRPr="0066452D" w:rsidRDefault="0005400F" w:rsidP="0005400F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- efekty aktywności na zajęciach</w:t>
      </w:r>
    </w:p>
    <w:p w:rsidR="0005400F" w:rsidRPr="0066452D" w:rsidRDefault="0005400F" w:rsidP="0005400F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05400F" w:rsidRPr="0066452D" w:rsidRDefault="0005400F" w:rsidP="0005400F">
      <w:pPr>
        <w:pStyle w:val="Bezodstpw"/>
        <w:widowControl w:val="0"/>
        <w:numPr>
          <w:ilvl w:val="0"/>
          <w:numId w:val="42"/>
        </w:numPr>
        <w:autoSpaceDE w:val="0"/>
        <w:autoSpaceDN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6452D">
        <w:rPr>
          <w:rFonts w:ascii="Times New Roman" w:hAnsi="Times New Roman" w:cs="Times New Roman"/>
          <w:bCs/>
          <w:sz w:val="24"/>
          <w:szCs w:val="24"/>
        </w:rPr>
        <w:t>Zasady i kryteria kontrolowania i oceniania:</w:t>
      </w:r>
    </w:p>
    <w:p w:rsidR="0005400F" w:rsidRPr="0066452D" w:rsidRDefault="0005400F" w:rsidP="0005400F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- prace kontrolne są obowiązkowe. W razie nieobecności (usprawiedliwionej, trwającej minimum siedem dni) w terminie pisania pracy, wiedza ucznia z podanego zagadnienia zostanie skontrolowana w formie pisemnej lub ustnej w wyznaczonym przez nauczyciela terminie w przeciągu ciągu dwóch tygodni, po upływie 5 dni dydaktycznych od ustania absencji</w:t>
      </w:r>
    </w:p>
    <w:p w:rsidR="0005400F" w:rsidRPr="0066452D" w:rsidRDefault="0005400F" w:rsidP="0005400F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- liczba prac kontrolnych pisanych w ciągu roku nie może być mniejsza niż liczba działów tematycznych przewidzianych w programie nauczania</w:t>
      </w:r>
    </w:p>
    <w:p w:rsidR="0005400F" w:rsidRPr="0066452D" w:rsidRDefault="0005400F" w:rsidP="0005400F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- uczeń raz w semestrze może zgłosić nieprzygotowanie do lekcji bez podania przyczyny (nie dotyczy to zapowiedzianych sprawdzianów i okresów klasyfikacyjnych) – nieprzygotowanie obejmuje również brak podręcznika, zeszytu, zadanej pracy domowej.</w:t>
      </w:r>
    </w:p>
    <w:p w:rsidR="0005400F" w:rsidRPr="0066452D" w:rsidRDefault="0005400F" w:rsidP="0005400F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- nieprzygotowanie do lekcji uczeń zgłasza na początku zajęć, nie czekając na wezwanie nauczyciela</w:t>
      </w:r>
    </w:p>
    <w:p w:rsidR="0005400F" w:rsidRPr="0066452D" w:rsidRDefault="0005400F" w:rsidP="0005400F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- brak zadanego zadania należy uzupełnić w przeciągu 2 dni</w:t>
      </w:r>
    </w:p>
    <w:p w:rsidR="0005400F" w:rsidRPr="0066452D" w:rsidRDefault="0005400F" w:rsidP="0005400F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- zeszyt przedmiotowy jest obowiązkowy – podlega kontroli i ocenie</w:t>
      </w:r>
    </w:p>
    <w:p w:rsidR="0005400F" w:rsidRPr="0066452D" w:rsidRDefault="0005400F" w:rsidP="0005400F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lastRenderedPageBreak/>
        <w:t>- materiały dodatkowe, dostarczane przez nauczyciela, powinny zostać umieszczone w zeszycie przedmiotowym</w:t>
      </w:r>
    </w:p>
    <w:p w:rsidR="0005400F" w:rsidRPr="0066452D" w:rsidRDefault="0005400F" w:rsidP="0005400F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- uczeń ma prawo do nie oceniania po dłuższej (przynajmniej tygodniowej) usprawiedliwionej nieobecności</w:t>
      </w:r>
    </w:p>
    <w:p w:rsidR="0005400F" w:rsidRPr="0066452D" w:rsidRDefault="0005400F" w:rsidP="0005400F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- uczeń może uzyskać dodatkowe oceny za wykonanie nadobowiązkowych prac, udział w zajęciach pozalekcyjnych oraz sukcesy w olimpiadach i konkursach przedmiotowych</w:t>
      </w:r>
    </w:p>
    <w:p w:rsidR="0005400F" w:rsidRPr="0066452D" w:rsidRDefault="0005400F" w:rsidP="0005400F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- korzystanie przez ucznia w czasie prac pisemnych z niedozwolonych przez nauczyciela pomocy oraz niesamodzielne rozwiązywanie zadań stanowi podstawę do wystawienia oceny niedostatecznej</w:t>
      </w:r>
    </w:p>
    <w:p w:rsidR="0005400F" w:rsidRPr="0066452D" w:rsidRDefault="0005400F" w:rsidP="0005400F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- uczeń może poprawić ocenę w przeciągu siedmiu dni szkolnych od jej uzyskania w formie i terminie wskazanym przez nauczyciela; ocena z poprawy w każdym przypadku zostaje wpisana do dziennika i, jeśli jest wyższa od poprzedniej, jest ostateczna – w innym wypadku ostateczną oceną jest uzyskana pierwotnie</w:t>
      </w:r>
    </w:p>
    <w:p w:rsidR="0005400F" w:rsidRPr="0066452D" w:rsidRDefault="0005400F" w:rsidP="0005400F">
      <w:pPr>
        <w:pStyle w:val="Akapitzlist"/>
        <w:widowControl w:val="0"/>
        <w:tabs>
          <w:tab w:val="left" w:pos="-28067"/>
        </w:tabs>
        <w:autoSpaceDE w:val="0"/>
        <w:autoSpaceDN w:val="0"/>
        <w:spacing w:after="0" w:line="276" w:lineRule="auto"/>
        <w:ind w:right="11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05400F" w:rsidRPr="0066452D" w:rsidRDefault="0005400F" w:rsidP="0005400F">
      <w:pPr>
        <w:pStyle w:val="Akapitzlist"/>
        <w:widowControl w:val="0"/>
        <w:numPr>
          <w:ilvl w:val="0"/>
          <w:numId w:val="42"/>
        </w:numPr>
        <w:tabs>
          <w:tab w:val="left" w:pos="-28067"/>
        </w:tabs>
        <w:autoSpaceDE w:val="0"/>
        <w:autoSpaceDN w:val="0"/>
        <w:spacing w:after="0" w:line="276" w:lineRule="auto"/>
        <w:ind w:right="11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W odpowiedziach pisemnych, w których poszczególne zadania są punktowane, ocena,jaką otrzymuje uczeń, jest zgodna z przyjętym rozkładem procentowym dla danej ocenytj.</w:t>
      </w:r>
    </w:p>
    <w:p w:rsidR="0005400F" w:rsidRPr="0066452D" w:rsidRDefault="0005400F" w:rsidP="0005400F">
      <w:pPr>
        <w:pStyle w:val="Tekstpodstawowy"/>
        <w:spacing w:before="3"/>
        <w:rPr>
          <w:rFonts w:ascii="Times New Roman" w:hAnsi="Times New Roman" w:cs="Times New Roman"/>
          <w:sz w:val="24"/>
          <w:szCs w:val="24"/>
        </w:rPr>
      </w:pPr>
    </w:p>
    <w:p w:rsidR="0005400F" w:rsidRPr="0066452D" w:rsidRDefault="0005400F" w:rsidP="0005400F">
      <w:pPr>
        <w:ind w:left="1416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color w:val="000000"/>
          <w:sz w:val="24"/>
          <w:szCs w:val="24"/>
        </w:rPr>
        <w:t xml:space="preserve">  0 - 40%</w:t>
      </w:r>
      <w:r w:rsidRPr="0066452D">
        <w:rPr>
          <w:rFonts w:ascii="Times New Roman" w:hAnsi="Times New Roman" w:cs="Times New Roman"/>
          <w:color w:val="000000"/>
          <w:sz w:val="24"/>
          <w:szCs w:val="24"/>
        </w:rPr>
        <w:tab/>
        <w:t>- ndst</w:t>
      </w:r>
      <w:r w:rsidRPr="0066452D">
        <w:rPr>
          <w:rFonts w:ascii="Times New Roman" w:hAnsi="Times New Roman" w:cs="Times New Roman"/>
          <w:color w:val="000000"/>
          <w:sz w:val="24"/>
          <w:szCs w:val="24"/>
        </w:rPr>
        <w:br/>
        <w:t>41 - 50%</w:t>
      </w:r>
      <w:r w:rsidRPr="0066452D">
        <w:rPr>
          <w:rFonts w:ascii="Times New Roman" w:hAnsi="Times New Roman" w:cs="Times New Roman"/>
          <w:color w:val="000000"/>
          <w:sz w:val="24"/>
          <w:szCs w:val="24"/>
        </w:rPr>
        <w:tab/>
        <w:t>- dop</w:t>
      </w:r>
      <w:r w:rsidRPr="0066452D">
        <w:rPr>
          <w:rFonts w:ascii="Times New Roman" w:hAnsi="Times New Roman" w:cs="Times New Roman"/>
          <w:color w:val="000000"/>
          <w:sz w:val="24"/>
          <w:szCs w:val="24"/>
        </w:rPr>
        <w:br/>
        <w:t>51 - 70%</w:t>
      </w:r>
      <w:r w:rsidRPr="0066452D">
        <w:rPr>
          <w:rFonts w:ascii="Times New Roman" w:hAnsi="Times New Roman" w:cs="Times New Roman"/>
          <w:color w:val="000000"/>
          <w:sz w:val="24"/>
          <w:szCs w:val="24"/>
        </w:rPr>
        <w:tab/>
        <w:t>- dst</w:t>
      </w:r>
      <w:r w:rsidRPr="0066452D">
        <w:rPr>
          <w:rFonts w:ascii="Times New Roman" w:hAnsi="Times New Roman" w:cs="Times New Roman"/>
          <w:color w:val="000000"/>
          <w:sz w:val="24"/>
          <w:szCs w:val="24"/>
        </w:rPr>
        <w:br/>
        <w:t>71 - 89%</w:t>
      </w:r>
      <w:r w:rsidRPr="0066452D">
        <w:rPr>
          <w:rFonts w:ascii="Times New Roman" w:hAnsi="Times New Roman" w:cs="Times New Roman"/>
          <w:color w:val="000000"/>
          <w:sz w:val="24"/>
          <w:szCs w:val="24"/>
        </w:rPr>
        <w:tab/>
        <w:t>- db</w:t>
      </w:r>
      <w:r w:rsidRPr="0066452D">
        <w:rPr>
          <w:rFonts w:ascii="Times New Roman" w:hAnsi="Times New Roman" w:cs="Times New Roman"/>
          <w:color w:val="000000"/>
          <w:sz w:val="24"/>
          <w:szCs w:val="24"/>
        </w:rPr>
        <w:br/>
        <w:t>90 - 98%</w:t>
      </w:r>
      <w:r w:rsidRPr="0066452D">
        <w:rPr>
          <w:rFonts w:ascii="Times New Roman" w:hAnsi="Times New Roman" w:cs="Times New Roman"/>
          <w:color w:val="000000"/>
          <w:sz w:val="24"/>
          <w:szCs w:val="24"/>
        </w:rPr>
        <w:tab/>
        <w:t>- bdb</w:t>
      </w:r>
      <w:r w:rsidRPr="0066452D">
        <w:rPr>
          <w:rFonts w:ascii="Times New Roman" w:hAnsi="Times New Roman" w:cs="Times New Roman"/>
          <w:color w:val="000000"/>
          <w:sz w:val="24"/>
          <w:szCs w:val="24"/>
        </w:rPr>
        <w:br/>
        <w:t>99 -100%</w:t>
      </w:r>
      <w:r w:rsidRPr="0066452D">
        <w:rPr>
          <w:rFonts w:ascii="Times New Roman" w:hAnsi="Times New Roman" w:cs="Times New Roman"/>
          <w:color w:val="000000"/>
          <w:sz w:val="24"/>
          <w:szCs w:val="24"/>
        </w:rPr>
        <w:tab/>
        <w:t>- cel</w:t>
      </w:r>
    </w:p>
    <w:p w:rsidR="0005400F" w:rsidRPr="0066452D" w:rsidRDefault="0005400F" w:rsidP="0005400F">
      <w:pPr>
        <w:pStyle w:val="Bezodstpw"/>
        <w:numPr>
          <w:ilvl w:val="0"/>
          <w:numId w:val="4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Ocenom bieżącym nadaje się następujące wagi:</w:t>
      </w:r>
    </w:p>
    <w:p w:rsidR="0005400F" w:rsidRPr="0066452D" w:rsidRDefault="0005400F" w:rsidP="0005400F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- sprawdziany i testy – 3,</w:t>
      </w:r>
    </w:p>
    <w:p w:rsidR="0005400F" w:rsidRPr="0066452D" w:rsidRDefault="0005400F" w:rsidP="0005400F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- kartkówki, wypowiedzi ustne – 2,</w:t>
      </w:r>
    </w:p>
    <w:p w:rsidR="0005400F" w:rsidRPr="0066452D" w:rsidRDefault="0005400F" w:rsidP="0005400F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- pisemne prace domowe, referaty, projekty, efekty aktywności na zajęciach, ćwiczenia z wykorzystaniem arkuszy maturalnych – 1.</w:t>
      </w:r>
    </w:p>
    <w:p w:rsidR="0005400F" w:rsidRPr="0066452D" w:rsidRDefault="0005400F" w:rsidP="0005400F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05400F" w:rsidRPr="0066452D" w:rsidRDefault="0005400F" w:rsidP="0005400F">
      <w:pPr>
        <w:pStyle w:val="Akapitzlist"/>
        <w:widowControl w:val="0"/>
        <w:numPr>
          <w:ilvl w:val="0"/>
          <w:numId w:val="42"/>
        </w:numPr>
        <w:autoSpaceDE w:val="0"/>
        <w:autoSpaceDN w:val="0"/>
        <w:spacing w:before="201" w:after="0" w:line="276" w:lineRule="auto"/>
        <w:ind w:right="10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Ocenę śródroczną lub roczną (z uwzględnieniem wszystkich ocen w danym roku szkolnym)ustalasięjako średniąważonąocenbieżących wgnastępującejskali:</w:t>
      </w:r>
    </w:p>
    <w:p w:rsidR="0005400F" w:rsidRPr="0066452D" w:rsidRDefault="0005400F" w:rsidP="0005400F">
      <w:pPr>
        <w:pStyle w:val="Akapitzlist"/>
        <w:spacing w:before="201" w:line="276" w:lineRule="auto"/>
        <w:ind w:right="1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05400F" w:rsidRPr="0066452D" w:rsidTr="00915883">
        <w:tc>
          <w:tcPr>
            <w:tcW w:w="1842" w:type="dxa"/>
          </w:tcPr>
          <w:p w:rsidR="0005400F" w:rsidRPr="0066452D" w:rsidRDefault="0005400F" w:rsidP="009158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52D">
              <w:rPr>
                <w:rFonts w:ascii="Times New Roman" w:hAnsi="Times New Roman" w:cs="Times New Roman"/>
                <w:sz w:val="24"/>
                <w:szCs w:val="24"/>
              </w:rPr>
              <w:t>Średnia ważona</w:t>
            </w:r>
            <w:r w:rsidRPr="006645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ab/>
            </w:r>
          </w:p>
        </w:tc>
        <w:tc>
          <w:tcPr>
            <w:tcW w:w="2552" w:type="dxa"/>
          </w:tcPr>
          <w:p w:rsidR="0005400F" w:rsidRPr="0066452D" w:rsidRDefault="0005400F" w:rsidP="009158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5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Ocena </w:t>
            </w:r>
            <w:r w:rsidRPr="006645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śródroczna/roczna</w:t>
            </w:r>
          </w:p>
        </w:tc>
      </w:tr>
      <w:tr w:rsidR="0005400F" w:rsidRPr="0066452D" w:rsidTr="00915883">
        <w:tc>
          <w:tcPr>
            <w:tcW w:w="1842" w:type="dxa"/>
          </w:tcPr>
          <w:p w:rsidR="0005400F" w:rsidRPr="0066452D" w:rsidRDefault="0005400F" w:rsidP="0091588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5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 – 1,74</w:t>
            </w:r>
          </w:p>
        </w:tc>
        <w:tc>
          <w:tcPr>
            <w:tcW w:w="2552" w:type="dxa"/>
          </w:tcPr>
          <w:p w:rsidR="0005400F" w:rsidRPr="0066452D" w:rsidRDefault="0005400F" w:rsidP="0091588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52D">
              <w:rPr>
                <w:rFonts w:ascii="Times New Roman" w:hAnsi="Times New Roman" w:cs="Times New Roman"/>
                <w:sz w:val="24"/>
                <w:szCs w:val="24"/>
              </w:rPr>
              <w:t>niedostateczny</w:t>
            </w:r>
          </w:p>
        </w:tc>
      </w:tr>
      <w:tr w:rsidR="0005400F" w:rsidRPr="0066452D" w:rsidTr="00915883">
        <w:tc>
          <w:tcPr>
            <w:tcW w:w="1842" w:type="dxa"/>
          </w:tcPr>
          <w:p w:rsidR="0005400F" w:rsidRPr="0066452D" w:rsidRDefault="0005400F" w:rsidP="0091588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52D">
              <w:rPr>
                <w:rFonts w:ascii="Times New Roman" w:hAnsi="Times New Roman" w:cs="Times New Roman"/>
                <w:sz w:val="24"/>
                <w:szCs w:val="24"/>
              </w:rPr>
              <w:t>1,75 – 2,50</w:t>
            </w:r>
          </w:p>
        </w:tc>
        <w:tc>
          <w:tcPr>
            <w:tcW w:w="2552" w:type="dxa"/>
          </w:tcPr>
          <w:p w:rsidR="0005400F" w:rsidRPr="0066452D" w:rsidRDefault="0005400F" w:rsidP="0091588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52D">
              <w:rPr>
                <w:rFonts w:ascii="Times New Roman" w:hAnsi="Times New Roman" w:cs="Times New Roman"/>
                <w:sz w:val="24"/>
                <w:szCs w:val="24"/>
              </w:rPr>
              <w:t>dopuszczający</w:t>
            </w:r>
          </w:p>
        </w:tc>
      </w:tr>
      <w:tr w:rsidR="0005400F" w:rsidRPr="0066452D" w:rsidTr="00915883">
        <w:tc>
          <w:tcPr>
            <w:tcW w:w="1842" w:type="dxa"/>
          </w:tcPr>
          <w:p w:rsidR="0005400F" w:rsidRPr="0066452D" w:rsidRDefault="0005400F" w:rsidP="009158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52D">
              <w:rPr>
                <w:rFonts w:ascii="Times New Roman" w:hAnsi="Times New Roman" w:cs="Times New Roman"/>
                <w:sz w:val="24"/>
                <w:szCs w:val="24"/>
              </w:rPr>
              <w:t>2,51 – 3,50</w:t>
            </w:r>
          </w:p>
        </w:tc>
        <w:tc>
          <w:tcPr>
            <w:tcW w:w="2552" w:type="dxa"/>
          </w:tcPr>
          <w:p w:rsidR="0005400F" w:rsidRPr="0066452D" w:rsidRDefault="0005400F" w:rsidP="0091588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52D">
              <w:rPr>
                <w:rFonts w:ascii="Times New Roman" w:hAnsi="Times New Roman" w:cs="Times New Roman"/>
                <w:sz w:val="24"/>
                <w:szCs w:val="24"/>
              </w:rPr>
              <w:t>dostateczny</w:t>
            </w:r>
          </w:p>
        </w:tc>
      </w:tr>
      <w:tr w:rsidR="0005400F" w:rsidRPr="0066452D" w:rsidTr="00915883">
        <w:tc>
          <w:tcPr>
            <w:tcW w:w="1842" w:type="dxa"/>
          </w:tcPr>
          <w:p w:rsidR="0005400F" w:rsidRPr="0066452D" w:rsidRDefault="0005400F" w:rsidP="009158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52D">
              <w:rPr>
                <w:rFonts w:ascii="Times New Roman" w:hAnsi="Times New Roman" w:cs="Times New Roman"/>
                <w:sz w:val="24"/>
                <w:szCs w:val="24"/>
              </w:rPr>
              <w:t>3,51 – 4,50</w:t>
            </w:r>
          </w:p>
        </w:tc>
        <w:tc>
          <w:tcPr>
            <w:tcW w:w="2552" w:type="dxa"/>
          </w:tcPr>
          <w:p w:rsidR="0005400F" w:rsidRPr="0066452D" w:rsidRDefault="0005400F" w:rsidP="0091588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52D">
              <w:rPr>
                <w:rFonts w:ascii="Times New Roman" w:hAnsi="Times New Roman" w:cs="Times New Roman"/>
                <w:sz w:val="24"/>
                <w:szCs w:val="24"/>
              </w:rPr>
              <w:t>dobry</w:t>
            </w:r>
          </w:p>
        </w:tc>
      </w:tr>
      <w:tr w:rsidR="0005400F" w:rsidRPr="0066452D" w:rsidTr="00915883">
        <w:tc>
          <w:tcPr>
            <w:tcW w:w="1842" w:type="dxa"/>
          </w:tcPr>
          <w:p w:rsidR="0005400F" w:rsidRPr="0066452D" w:rsidRDefault="0005400F" w:rsidP="009158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52D">
              <w:rPr>
                <w:rFonts w:ascii="Times New Roman" w:hAnsi="Times New Roman" w:cs="Times New Roman"/>
                <w:sz w:val="24"/>
                <w:szCs w:val="24"/>
              </w:rPr>
              <w:t>4,51 – 5,50</w:t>
            </w:r>
          </w:p>
        </w:tc>
        <w:tc>
          <w:tcPr>
            <w:tcW w:w="2552" w:type="dxa"/>
          </w:tcPr>
          <w:p w:rsidR="0005400F" w:rsidRPr="0066452D" w:rsidRDefault="0005400F" w:rsidP="0091588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52D">
              <w:rPr>
                <w:rFonts w:ascii="Times New Roman" w:hAnsi="Times New Roman" w:cs="Times New Roman"/>
                <w:sz w:val="24"/>
                <w:szCs w:val="24"/>
              </w:rPr>
              <w:t>bardzo dobry</w:t>
            </w:r>
          </w:p>
        </w:tc>
      </w:tr>
      <w:tr w:rsidR="0005400F" w:rsidRPr="0066452D" w:rsidTr="00915883">
        <w:tc>
          <w:tcPr>
            <w:tcW w:w="1842" w:type="dxa"/>
          </w:tcPr>
          <w:p w:rsidR="0005400F" w:rsidRPr="0066452D" w:rsidRDefault="0005400F" w:rsidP="009158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52D">
              <w:rPr>
                <w:rFonts w:ascii="Times New Roman" w:hAnsi="Times New Roman" w:cs="Times New Roman"/>
                <w:sz w:val="24"/>
                <w:szCs w:val="24"/>
              </w:rPr>
              <w:t>5,51 – 6</w:t>
            </w:r>
          </w:p>
        </w:tc>
        <w:tc>
          <w:tcPr>
            <w:tcW w:w="2552" w:type="dxa"/>
          </w:tcPr>
          <w:p w:rsidR="0005400F" w:rsidRPr="0066452D" w:rsidRDefault="0005400F" w:rsidP="009158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52D">
              <w:rPr>
                <w:rFonts w:ascii="Times New Roman" w:hAnsi="Times New Roman" w:cs="Times New Roman"/>
                <w:sz w:val="24"/>
                <w:szCs w:val="24"/>
              </w:rPr>
              <w:t>celujący</w:t>
            </w:r>
          </w:p>
        </w:tc>
      </w:tr>
    </w:tbl>
    <w:p w:rsidR="0005400F" w:rsidRPr="0066452D" w:rsidRDefault="0005400F" w:rsidP="0005400F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05400F" w:rsidRPr="0066452D" w:rsidRDefault="0005400F" w:rsidP="0005400F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05400F" w:rsidRPr="0066452D" w:rsidRDefault="0005400F" w:rsidP="0005400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400F" w:rsidRPr="0066452D" w:rsidRDefault="0005400F" w:rsidP="0005400F">
      <w:pPr>
        <w:pStyle w:val="Akapitzlist"/>
        <w:widowControl w:val="0"/>
        <w:numPr>
          <w:ilvl w:val="0"/>
          <w:numId w:val="42"/>
        </w:numPr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Warunki i tryb uzyskania wyższej niż przewidywana rocznej oceny klasyfikacyjnej regulowane są w Statucie.</w:t>
      </w:r>
      <w:r w:rsidRPr="0066452D">
        <w:rPr>
          <w:rFonts w:ascii="Times New Roman" w:hAnsi="Times New Roman" w:cs="Times New Roman"/>
          <w:sz w:val="24"/>
          <w:szCs w:val="24"/>
        </w:rPr>
        <w:tab/>
      </w:r>
    </w:p>
    <w:p w:rsidR="0005400F" w:rsidRPr="0066452D" w:rsidRDefault="0005400F" w:rsidP="0005400F">
      <w:pPr>
        <w:rPr>
          <w:rFonts w:ascii="Times New Roman" w:hAnsi="Times New Roman" w:cs="Times New Roman"/>
          <w:sz w:val="24"/>
          <w:szCs w:val="24"/>
        </w:rPr>
      </w:pPr>
    </w:p>
    <w:p w:rsidR="0005400F" w:rsidRPr="0066452D" w:rsidRDefault="0005400F" w:rsidP="0005400F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05400F" w:rsidRPr="0066452D" w:rsidRDefault="0005400F" w:rsidP="000540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bookmarkEnd w:id="1"/>
    <w:p w:rsidR="0005400F" w:rsidRPr="0066452D" w:rsidRDefault="0005400F" w:rsidP="0005400F">
      <w:pPr>
        <w:rPr>
          <w:rFonts w:ascii="Times New Roman" w:hAnsi="Times New Roman" w:cs="Times New Roman"/>
        </w:rPr>
      </w:pPr>
    </w:p>
    <w:p w:rsidR="00A41F80" w:rsidRPr="003D5D9D" w:rsidRDefault="00A41F80" w:rsidP="0005400F">
      <w:pPr>
        <w:pStyle w:val="Bezodstpw"/>
        <w:rPr>
          <w:rFonts w:ascii="Times New Roman" w:hAnsi="Times New Roman" w:cs="Times New Roman"/>
        </w:rPr>
      </w:pPr>
    </w:p>
    <w:sectPr w:rsidR="00A41F80" w:rsidRPr="003D5D9D" w:rsidSect="007842A5"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691D" w:rsidRDefault="006C691D" w:rsidP="001873E7">
      <w:pPr>
        <w:spacing w:after="0" w:line="240" w:lineRule="auto"/>
      </w:pPr>
      <w:r>
        <w:separator/>
      </w:r>
    </w:p>
  </w:endnote>
  <w:endnote w:type="continuationSeparator" w:id="1">
    <w:p w:rsidR="006C691D" w:rsidRDefault="006C691D" w:rsidP="001873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49890893"/>
      <w:docPartObj>
        <w:docPartGallery w:val="Page Numbers (Bottom of Page)"/>
        <w:docPartUnique/>
      </w:docPartObj>
    </w:sdtPr>
    <w:sdtContent>
      <w:p w:rsidR="00312762" w:rsidRDefault="00B76624">
        <w:pPr>
          <w:pStyle w:val="Stopka"/>
          <w:jc w:val="center"/>
        </w:pPr>
        <w:r>
          <w:fldChar w:fldCharType="begin"/>
        </w:r>
        <w:r w:rsidR="00312762">
          <w:instrText>PAGE   \* MERGEFORMAT</w:instrText>
        </w:r>
        <w:r>
          <w:fldChar w:fldCharType="separate"/>
        </w:r>
        <w:r w:rsidR="00D77113">
          <w:rPr>
            <w:noProof/>
          </w:rPr>
          <w:t>1</w:t>
        </w:r>
        <w:r>
          <w:fldChar w:fldCharType="end"/>
        </w:r>
      </w:p>
    </w:sdtContent>
  </w:sdt>
  <w:p w:rsidR="00312762" w:rsidRDefault="0031276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691D" w:rsidRDefault="006C691D" w:rsidP="001873E7">
      <w:pPr>
        <w:spacing w:after="0" w:line="240" w:lineRule="auto"/>
      </w:pPr>
      <w:r>
        <w:separator/>
      </w:r>
    </w:p>
  </w:footnote>
  <w:footnote w:type="continuationSeparator" w:id="1">
    <w:p w:rsidR="006C691D" w:rsidRDefault="006C691D" w:rsidP="001873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D4D9B"/>
    <w:multiLevelType w:val="hybridMultilevel"/>
    <w:tmpl w:val="EA86A9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C95416"/>
    <w:multiLevelType w:val="hybridMultilevel"/>
    <w:tmpl w:val="1248B2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80720B"/>
    <w:multiLevelType w:val="hybridMultilevel"/>
    <w:tmpl w:val="A3C65B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BC2E34"/>
    <w:multiLevelType w:val="hybridMultilevel"/>
    <w:tmpl w:val="7DAA54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F737C8"/>
    <w:multiLevelType w:val="hybridMultilevel"/>
    <w:tmpl w:val="71A64B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C46926"/>
    <w:multiLevelType w:val="hybridMultilevel"/>
    <w:tmpl w:val="4E940E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9F3045"/>
    <w:multiLevelType w:val="hybridMultilevel"/>
    <w:tmpl w:val="F70665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17316C"/>
    <w:multiLevelType w:val="hybridMultilevel"/>
    <w:tmpl w:val="500671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DF470C"/>
    <w:multiLevelType w:val="hybridMultilevel"/>
    <w:tmpl w:val="015A31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2B0384"/>
    <w:multiLevelType w:val="hybridMultilevel"/>
    <w:tmpl w:val="F8C2CC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CA4F7C"/>
    <w:multiLevelType w:val="hybridMultilevel"/>
    <w:tmpl w:val="10A4ACCA"/>
    <w:lvl w:ilvl="0" w:tplc="42226710">
      <w:start w:val="1"/>
      <w:numFmt w:val="bullet"/>
      <w:pStyle w:val="Tabelaszerokalistapunktowana"/>
      <w:lvlText w:val="•"/>
      <w:lvlJc w:val="left"/>
      <w:pPr>
        <w:ind w:left="36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0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11">
    <w:nsid w:val="322446CD"/>
    <w:multiLevelType w:val="hybridMultilevel"/>
    <w:tmpl w:val="BD5058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503757"/>
    <w:multiLevelType w:val="hybridMultilevel"/>
    <w:tmpl w:val="7DF0E8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934928"/>
    <w:multiLevelType w:val="hybridMultilevel"/>
    <w:tmpl w:val="A3322E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E62C30"/>
    <w:multiLevelType w:val="hybridMultilevel"/>
    <w:tmpl w:val="DA80DA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E17214"/>
    <w:multiLevelType w:val="hybridMultilevel"/>
    <w:tmpl w:val="86D62A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B07CF5"/>
    <w:multiLevelType w:val="hybridMultilevel"/>
    <w:tmpl w:val="201C28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31B209C"/>
    <w:multiLevelType w:val="hybridMultilevel"/>
    <w:tmpl w:val="8AFA1D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6265848"/>
    <w:multiLevelType w:val="hybridMultilevel"/>
    <w:tmpl w:val="A1E2DB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FB4B21"/>
    <w:multiLevelType w:val="hybridMultilevel"/>
    <w:tmpl w:val="E460F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0EC2A78"/>
    <w:multiLevelType w:val="hybridMultilevel"/>
    <w:tmpl w:val="2362ADD0"/>
    <w:lvl w:ilvl="0" w:tplc="29AC18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4A1D6C"/>
    <w:multiLevelType w:val="hybridMultilevel"/>
    <w:tmpl w:val="E3F4B2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280459D"/>
    <w:multiLevelType w:val="hybridMultilevel"/>
    <w:tmpl w:val="D9341C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122591"/>
    <w:multiLevelType w:val="hybridMultilevel"/>
    <w:tmpl w:val="D0EA22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8213E11"/>
    <w:multiLevelType w:val="multilevel"/>
    <w:tmpl w:val="8176EC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B8666AC"/>
    <w:multiLevelType w:val="hybridMultilevel"/>
    <w:tmpl w:val="4FB66A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CF90DE6"/>
    <w:multiLevelType w:val="hybridMultilevel"/>
    <w:tmpl w:val="D6C4A3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EA53B9C"/>
    <w:multiLevelType w:val="hybridMultilevel"/>
    <w:tmpl w:val="2BF006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30F10B0"/>
    <w:multiLevelType w:val="hybridMultilevel"/>
    <w:tmpl w:val="CA303B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31D271A"/>
    <w:multiLevelType w:val="hybridMultilevel"/>
    <w:tmpl w:val="6EA2C6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3395252"/>
    <w:multiLevelType w:val="hybridMultilevel"/>
    <w:tmpl w:val="D00A8E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3562E7E"/>
    <w:multiLevelType w:val="hybridMultilevel"/>
    <w:tmpl w:val="B7FCCB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36A1587"/>
    <w:multiLevelType w:val="hybridMultilevel"/>
    <w:tmpl w:val="467A24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7AC0A5E"/>
    <w:multiLevelType w:val="hybridMultilevel"/>
    <w:tmpl w:val="B68EE6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EC555CB"/>
    <w:multiLevelType w:val="hybridMultilevel"/>
    <w:tmpl w:val="317010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02A4DBB"/>
    <w:multiLevelType w:val="hybridMultilevel"/>
    <w:tmpl w:val="938A7E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43F5A99"/>
    <w:multiLevelType w:val="hybridMultilevel"/>
    <w:tmpl w:val="F4DC50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7443605"/>
    <w:multiLevelType w:val="hybridMultilevel"/>
    <w:tmpl w:val="574A24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B414DB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5D340D"/>
    <w:multiLevelType w:val="hybridMultilevel"/>
    <w:tmpl w:val="340AD6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DA864E4"/>
    <w:multiLevelType w:val="hybridMultilevel"/>
    <w:tmpl w:val="9C562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2"/>
  </w:num>
  <w:num w:numId="3">
    <w:abstractNumId w:val="10"/>
  </w:num>
  <w:num w:numId="4">
    <w:abstractNumId w:val="26"/>
  </w:num>
  <w:num w:numId="5">
    <w:abstractNumId w:val="17"/>
  </w:num>
  <w:num w:numId="6">
    <w:abstractNumId w:val="37"/>
  </w:num>
  <w:num w:numId="7">
    <w:abstractNumId w:val="42"/>
  </w:num>
  <w:num w:numId="8">
    <w:abstractNumId w:val="6"/>
  </w:num>
  <w:num w:numId="9">
    <w:abstractNumId w:val="1"/>
  </w:num>
  <w:num w:numId="10">
    <w:abstractNumId w:val="30"/>
  </w:num>
  <w:num w:numId="11">
    <w:abstractNumId w:val="38"/>
  </w:num>
  <w:num w:numId="12">
    <w:abstractNumId w:val="23"/>
  </w:num>
  <w:num w:numId="13">
    <w:abstractNumId w:val="15"/>
  </w:num>
  <w:num w:numId="14">
    <w:abstractNumId w:val="19"/>
  </w:num>
  <w:num w:numId="15">
    <w:abstractNumId w:val="16"/>
  </w:num>
  <w:num w:numId="16">
    <w:abstractNumId w:val="18"/>
  </w:num>
  <w:num w:numId="17">
    <w:abstractNumId w:val="36"/>
  </w:num>
  <w:num w:numId="18">
    <w:abstractNumId w:val="39"/>
  </w:num>
  <w:num w:numId="19">
    <w:abstractNumId w:val="29"/>
  </w:num>
  <w:num w:numId="20">
    <w:abstractNumId w:val="35"/>
  </w:num>
  <w:num w:numId="21">
    <w:abstractNumId w:val="8"/>
  </w:num>
  <w:num w:numId="22">
    <w:abstractNumId w:val="20"/>
  </w:num>
  <w:num w:numId="23">
    <w:abstractNumId w:val="33"/>
  </w:num>
  <w:num w:numId="24">
    <w:abstractNumId w:val="34"/>
  </w:num>
  <w:num w:numId="25">
    <w:abstractNumId w:val="9"/>
  </w:num>
  <w:num w:numId="26">
    <w:abstractNumId w:val="2"/>
  </w:num>
  <w:num w:numId="27">
    <w:abstractNumId w:val="3"/>
  </w:num>
  <w:num w:numId="28">
    <w:abstractNumId w:val="31"/>
  </w:num>
  <w:num w:numId="29">
    <w:abstractNumId w:val="7"/>
  </w:num>
  <w:num w:numId="30">
    <w:abstractNumId w:val="12"/>
  </w:num>
  <w:num w:numId="31">
    <w:abstractNumId w:val="5"/>
  </w:num>
  <w:num w:numId="32">
    <w:abstractNumId w:val="41"/>
  </w:num>
  <w:num w:numId="33">
    <w:abstractNumId w:val="32"/>
  </w:num>
  <w:num w:numId="34">
    <w:abstractNumId w:val="27"/>
  </w:num>
  <w:num w:numId="35">
    <w:abstractNumId w:val="11"/>
  </w:num>
  <w:num w:numId="36">
    <w:abstractNumId w:val="4"/>
  </w:num>
  <w:num w:numId="37">
    <w:abstractNumId w:val="25"/>
  </w:num>
  <w:num w:numId="38">
    <w:abstractNumId w:val="14"/>
  </w:num>
  <w:num w:numId="39">
    <w:abstractNumId w:val="28"/>
  </w:num>
  <w:num w:numId="40">
    <w:abstractNumId w:val="0"/>
  </w:num>
  <w:num w:numId="41">
    <w:abstractNumId w:val="13"/>
  </w:num>
  <w:num w:numId="42">
    <w:abstractNumId w:val="24"/>
  </w:num>
  <w:num w:numId="43">
    <w:abstractNumId w:val="4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842A5"/>
    <w:rsid w:val="0000086A"/>
    <w:rsid w:val="0000310C"/>
    <w:rsid w:val="00003A0A"/>
    <w:rsid w:val="00003B4C"/>
    <w:rsid w:val="00004DD0"/>
    <w:rsid w:val="00005BB5"/>
    <w:rsid w:val="00010D4B"/>
    <w:rsid w:val="00011CA9"/>
    <w:rsid w:val="00011FE6"/>
    <w:rsid w:val="00013E02"/>
    <w:rsid w:val="000170E3"/>
    <w:rsid w:val="00021BF8"/>
    <w:rsid w:val="00021F88"/>
    <w:rsid w:val="00025E56"/>
    <w:rsid w:val="000260A8"/>
    <w:rsid w:val="00026F7B"/>
    <w:rsid w:val="000271E6"/>
    <w:rsid w:val="0002761F"/>
    <w:rsid w:val="0003097B"/>
    <w:rsid w:val="00032737"/>
    <w:rsid w:val="000353BA"/>
    <w:rsid w:val="00035FC3"/>
    <w:rsid w:val="0004299D"/>
    <w:rsid w:val="00043FE9"/>
    <w:rsid w:val="000449A8"/>
    <w:rsid w:val="000452C0"/>
    <w:rsid w:val="00045B77"/>
    <w:rsid w:val="00046980"/>
    <w:rsid w:val="00046E84"/>
    <w:rsid w:val="000533A4"/>
    <w:rsid w:val="0005400F"/>
    <w:rsid w:val="00054293"/>
    <w:rsid w:val="00057E26"/>
    <w:rsid w:val="00060AA1"/>
    <w:rsid w:val="00061776"/>
    <w:rsid w:val="00061DA5"/>
    <w:rsid w:val="00062210"/>
    <w:rsid w:val="000625A0"/>
    <w:rsid w:val="000629EE"/>
    <w:rsid w:val="00063005"/>
    <w:rsid w:val="00063B1F"/>
    <w:rsid w:val="00064222"/>
    <w:rsid w:val="00064E76"/>
    <w:rsid w:val="00065B33"/>
    <w:rsid w:val="000708B5"/>
    <w:rsid w:val="000724A7"/>
    <w:rsid w:val="00072D08"/>
    <w:rsid w:val="00075848"/>
    <w:rsid w:val="00076FAB"/>
    <w:rsid w:val="00080ED6"/>
    <w:rsid w:val="00082E7B"/>
    <w:rsid w:val="00084D89"/>
    <w:rsid w:val="00086AE7"/>
    <w:rsid w:val="0008753F"/>
    <w:rsid w:val="00092F0C"/>
    <w:rsid w:val="000941B4"/>
    <w:rsid w:val="000A1C5B"/>
    <w:rsid w:val="000A1D7A"/>
    <w:rsid w:val="000A439A"/>
    <w:rsid w:val="000A5204"/>
    <w:rsid w:val="000B07D3"/>
    <w:rsid w:val="000B1000"/>
    <w:rsid w:val="000B1362"/>
    <w:rsid w:val="000B5062"/>
    <w:rsid w:val="000B5783"/>
    <w:rsid w:val="000C1A06"/>
    <w:rsid w:val="000C4106"/>
    <w:rsid w:val="000C4FD0"/>
    <w:rsid w:val="000C649F"/>
    <w:rsid w:val="000C70EE"/>
    <w:rsid w:val="000D1582"/>
    <w:rsid w:val="000D4B82"/>
    <w:rsid w:val="000D592D"/>
    <w:rsid w:val="000E0482"/>
    <w:rsid w:val="000E3758"/>
    <w:rsid w:val="000E5F41"/>
    <w:rsid w:val="000E6D4B"/>
    <w:rsid w:val="000F00C0"/>
    <w:rsid w:val="000F08FB"/>
    <w:rsid w:val="000F1C83"/>
    <w:rsid w:val="000F50D8"/>
    <w:rsid w:val="000F7F4B"/>
    <w:rsid w:val="00101457"/>
    <w:rsid w:val="001018F2"/>
    <w:rsid w:val="001029BE"/>
    <w:rsid w:val="00102B44"/>
    <w:rsid w:val="001033D2"/>
    <w:rsid w:val="00121D55"/>
    <w:rsid w:val="00122204"/>
    <w:rsid w:val="001228BA"/>
    <w:rsid w:val="00122F5F"/>
    <w:rsid w:val="001242A5"/>
    <w:rsid w:val="00126345"/>
    <w:rsid w:val="0012752C"/>
    <w:rsid w:val="001333CA"/>
    <w:rsid w:val="001347D0"/>
    <w:rsid w:val="001349C0"/>
    <w:rsid w:val="0014010B"/>
    <w:rsid w:val="001413C2"/>
    <w:rsid w:val="0014167D"/>
    <w:rsid w:val="001435EC"/>
    <w:rsid w:val="001442FA"/>
    <w:rsid w:val="001466EF"/>
    <w:rsid w:val="001509D0"/>
    <w:rsid w:val="00151338"/>
    <w:rsid w:val="001541B3"/>
    <w:rsid w:val="00155106"/>
    <w:rsid w:val="00155C11"/>
    <w:rsid w:val="00156463"/>
    <w:rsid w:val="001577FD"/>
    <w:rsid w:val="001600C0"/>
    <w:rsid w:val="00160D21"/>
    <w:rsid w:val="0016136E"/>
    <w:rsid w:val="00162CD0"/>
    <w:rsid w:val="00164525"/>
    <w:rsid w:val="0016592F"/>
    <w:rsid w:val="0016701D"/>
    <w:rsid w:val="0016775F"/>
    <w:rsid w:val="00172367"/>
    <w:rsid w:val="001758D3"/>
    <w:rsid w:val="0018300B"/>
    <w:rsid w:val="001873E7"/>
    <w:rsid w:val="00190191"/>
    <w:rsid w:val="00192CB7"/>
    <w:rsid w:val="001936EA"/>
    <w:rsid w:val="00193B34"/>
    <w:rsid w:val="00193ECA"/>
    <w:rsid w:val="001956B5"/>
    <w:rsid w:val="00197E8F"/>
    <w:rsid w:val="001A109C"/>
    <w:rsid w:val="001A15DE"/>
    <w:rsid w:val="001A316C"/>
    <w:rsid w:val="001A37CD"/>
    <w:rsid w:val="001A421A"/>
    <w:rsid w:val="001A47C7"/>
    <w:rsid w:val="001A486C"/>
    <w:rsid w:val="001A4E3F"/>
    <w:rsid w:val="001A5D4B"/>
    <w:rsid w:val="001C0B3A"/>
    <w:rsid w:val="001C312C"/>
    <w:rsid w:val="001C40BA"/>
    <w:rsid w:val="001C4C55"/>
    <w:rsid w:val="001C7BD7"/>
    <w:rsid w:val="001D673D"/>
    <w:rsid w:val="001D73BD"/>
    <w:rsid w:val="001D7861"/>
    <w:rsid w:val="001E1156"/>
    <w:rsid w:val="001E6246"/>
    <w:rsid w:val="001E6301"/>
    <w:rsid w:val="001F0C34"/>
    <w:rsid w:val="001F2D00"/>
    <w:rsid w:val="001F3E3B"/>
    <w:rsid w:val="001F3FD9"/>
    <w:rsid w:val="001F4844"/>
    <w:rsid w:val="001F5054"/>
    <w:rsid w:val="001F5E28"/>
    <w:rsid w:val="001F78AA"/>
    <w:rsid w:val="0020101A"/>
    <w:rsid w:val="00201F94"/>
    <w:rsid w:val="0020489B"/>
    <w:rsid w:val="0020685A"/>
    <w:rsid w:val="00207D25"/>
    <w:rsid w:val="00207DA3"/>
    <w:rsid w:val="00212AFE"/>
    <w:rsid w:val="002139E8"/>
    <w:rsid w:val="00216745"/>
    <w:rsid w:val="002168AE"/>
    <w:rsid w:val="00217EFA"/>
    <w:rsid w:val="00223AC1"/>
    <w:rsid w:val="00223D64"/>
    <w:rsid w:val="00225BB0"/>
    <w:rsid w:val="0023026F"/>
    <w:rsid w:val="0023065D"/>
    <w:rsid w:val="00232325"/>
    <w:rsid w:val="00233372"/>
    <w:rsid w:val="002358DE"/>
    <w:rsid w:val="002416E3"/>
    <w:rsid w:val="00242E0C"/>
    <w:rsid w:val="00247AAD"/>
    <w:rsid w:val="00253334"/>
    <w:rsid w:val="0025371E"/>
    <w:rsid w:val="002538B5"/>
    <w:rsid w:val="00253A76"/>
    <w:rsid w:val="002542F8"/>
    <w:rsid w:val="00255E04"/>
    <w:rsid w:val="00256976"/>
    <w:rsid w:val="00265F9D"/>
    <w:rsid w:val="00266E3F"/>
    <w:rsid w:val="002708C9"/>
    <w:rsid w:val="0027266A"/>
    <w:rsid w:val="00272B5D"/>
    <w:rsid w:val="002747A3"/>
    <w:rsid w:val="00275439"/>
    <w:rsid w:val="0027611B"/>
    <w:rsid w:val="00276834"/>
    <w:rsid w:val="00276971"/>
    <w:rsid w:val="00277D7A"/>
    <w:rsid w:val="0028082A"/>
    <w:rsid w:val="00281231"/>
    <w:rsid w:val="00283A67"/>
    <w:rsid w:val="00292E5C"/>
    <w:rsid w:val="00293018"/>
    <w:rsid w:val="0029532F"/>
    <w:rsid w:val="00295C68"/>
    <w:rsid w:val="00295D1F"/>
    <w:rsid w:val="00296105"/>
    <w:rsid w:val="00297A86"/>
    <w:rsid w:val="002A0FAB"/>
    <w:rsid w:val="002A4B0C"/>
    <w:rsid w:val="002A5DA8"/>
    <w:rsid w:val="002B067D"/>
    <w:rsid w:val="002B15B1"/>
    <w:rsid w:val="002B1D2E"/>
    <w:rsid w:val="002B2364"/>
    <w:rsid w:val="002B45C2"/>
    <w:rsid w:val="002B5193"/>
    <w:rsid w:val="002B5690"/>
    <w:rsid w:val="002B5DC6"/>
    <w:rsid w:val="002B6ABA"/>
    <w:rsid w:val="002C0E64"/>
    <w:rsid w:val="002C0E92"/>
    <w:rsid w:val="002C1DC7"/>
    <w:rsid w:val="002C7B94"/>
    <w:rsid w:val="002D0C47"/>
    <w:rsid w:val="002D13D3"/>
    <w:rsid w:val="002D2743"/>
    <w:rsid w:val="002D3B89"/>
    <w:rsid w:val="002E3D3E"/>
    <w:rsid w:val="002E497B"/>
    <w:rsid w:val="002E4A75"/>
    <w:rsid w:val="002E4C53"/>
    <w:rsid w:val="002E5C9C"/>
    <w:rsid w:val="002E5CE3"/>
    <w:rsid w:val="002E7D89"/>
    <w:rsid w:val="002F21AD"/>
    <w:rsid w:val="002F28C0"/>
    <w:rsid w:val="002F29F2"/>
    <w:rsid w:val="002F2DFB"/>
    <w:rsid w:val="002F2E5F"/>
    <w:rsid w:val="002F7BF2"/>
    <w:rsid w:val="00303273"/>
    <w:rsid w:val="00305EE9"/>
    <w:rsid w:val="003074FC"/>
    <w:rsid w:val="0031005E"/>
    <w:rsid w:val="00312762"/>
    <w:rsid w:val="00312C7A"/>
    <w:rsid w:val="00312FA2"/>
    <w:rsid w:val="00316C4E"/>
    <w:rsid w:val="00320B1E"/>
    <w:rsid w:val="00323281"/>
    <w:rsid w:val="0032338F"/>
    <w:rsid w:val="0032614D"/>
    <w:rsid w:val="0033043C"/>
    <w:rsid w:val="00330532"/>
    <w:rsid w:val="00330B1D"/>
    <w:rsid w:val="00334CDD"/>
    <w:rsid w:val="003379A0"/>
    <w:rsid w:val="00337F04"/>
    <w:rsid w:val="0034301C"/>
    <w:rsid w:val="00344FFD"/>
    <w:rsid w:val="003506E9"/>
    <w:rsid w:val="00351889"/>
    <w:rsid w:val="00351F47"/>
    <w:rsid w:val="003534BB"/>
    <w:rsid w:val="00353700"/>
    <w:rsid w:val="00356619"/>
    <w:rsid w:val="003577DC"/>
    <w:rsid w:val="00364738"/>
    <w:rsid w:val="00366C3E"/>
    <w:rsid w:val="00367B5B"/>
    <w:rsid w:val="00372F15"/>
    <w:rsid w:val="00373457"/>
    <w:rsid w:val="00374AC5"/>
    <w:rsid w:val="0038189E"/>
    <w:rsid w:val="003833A9"/>
    <w:rsid w:val="0038367A"/>
    <w:rsid w:val="00384CAD"/>
    <w:rsid w:val="00385E3D"/>
    <w:rsid w:val="003866D5"/>
    <w:rsid w:val="00393FAF"/>
    <w:rsid w:val="00394969"/>
    <w:rsid w:val="00396815"/>
    <w:rsid w:val="00396DD4"/>
    <w:rsid w:val="003A160E"/>
    <w:rsid w:val="003A1A3C"/>
    <w:rsid w:val="003A4B53"/>
    <w:rsid w:val="003A51F7"/>
    <w:rsid w:val="003B0AF9"/>
    <w:rsid w:val="003B2EB2"/>
    <w:rsid w:val="003B4FFA"/>
    <w:rsid w:val="003B592F"/>
    <w:rsid w:val="003B75DE"/>
    <w:rsid w:val="003D04F4"/>
    <w:rsid w:val="003D20C4"/>
    <w:rsid w:val="003D380A"/>
    <w:rsid w:val="003D5D9D"/>
    <w:rsid w:val="003E0547"/>
    <w:rsid w:val="003E6E44"/>
    <w:rsid w:val="003F0A33"/>
    <w:rsid w:val="003F2525"/>
    <w:rsid w:val="003F4351"/>
    <w:rsid w:val="003F461C"/>
    <w:rsid w:val="003F71D2"/>
    <w:rsid w:val="0040212B"/>
    <w:rsid w:val="004024B6"/>
    <w:rsid w:val="00403AB0"/>
    <w:rsid w:val="0040666E"/>
    <w:rsid w:val="00410A0C"/>
    <w:rsid w:val="00411277"/>
    <w:rsid w:val="0041240E"/>
    <w:rsid w:val="00415600"/>
    <w:rsid w:val="00421E7E"/>
    <w:rsid w:val="004226AA"/>
    <w:rsid w:val="00422FD7"/>
    <w:rsid w:val="004230C6"/>
    <w:rsid w:val="004232B6"/>
    <w:rsid w:val="00425838"/>
    <w:rsid w:val="0043081D"/>
    <w:rsid w:val="00433374"/>
    <w:rsid w:val="004346DC"/>
    <w:rsid w:val="00435EB7"/>
    <w:rsid w:val="004402E5"/>
    <w:rsid w:val="00443318"/>
    <w:rsid w:val="004501EF"/>
    <w:rsid w:val="004506E1"/>
    <w:rsid w:val="00451DEE"/>
    <w:rsid w:val="00454446"/>
    <w:rsid w:val="0045493E"/>
    <w:rsid w:val="00454C1A"/>
    <w:rsid w:val="00460CF8"/>
    <w:rsid w:val="004612BF"/>
    <w:rsid w:val="0046480B"/>
    <w:rsid w:val="00465700"/>
    <w:rsid w:val="00471943"/>
    <w:rsid w:val="00472174"/>
    <w:rsid w:val="004722BF"/>
    <w:rsid w:val="0047632C"/>
    <w:rsid w:val="0048077E"/>
    <w:rsid w:val="004808E0"/>
    <w:rsid w:val="00480C54"/>
    <w:rsid w:val="00480CD3"/>
    <w:rsid w:val="004825D0"/>
    <w:rsid w:val="004833D8"/>
    <w:rsid w:val="004835EB"/>
    <w:rsid w:val="00484E3E"/>
    <w:rsid w:val="004859BB"/>
    <w:rsid w:val="0048657F"/>
    <w:rsid w:val="004866B6"/>
    <w:rsid w:val="00486C6B"/>
    <w:rsid w:val="00487F8D"/>
    <w:rsid w:val="004902AC"/>
    <w:rsid w:val="00492660"/>
    <w:rsid w:val="00492997"/>
    <w:rsid w:val="00493620"/>
    <w:rsid w:val="00496FA3"/>
    <w:rsid w:val="004A1A17"/>
    <w:rsid w:val="004A535B"/>
    <w:rsid w:val="004A5B3F"/>
    <w:rsid w:val="004A6ED7"/>
    <w:rsid w:val="004A781A"/>
    <w:rsid w:val="004B0B47"/>
    <w:rsid w:val="004B1444"/>
    <w:rsid w:val="004B5094"/>
    <w:rsid w:val="004B6830"/>
    <w:rsid w:val="004B6CA3"/>
    <w:rsid w:val="004C0CA4"/>
    <w:rsid w:val="004C1223"/>
    <w:rsid w:val="004C16EB"/>
    <w:rsid w:val="004C28B4"/>
    <w:rsid w:val="004C375C"/>
    <w:rsid w:val="004C3835"/>
    <w:rsid w:val="004C47EB"/>
    <w:rsid w:val="004C6612"/>
    <w:rsid w:val="004C70B7"/>
    <w:rsid w:val="004D019F"/>
    <w:rsid w:val="004D06C1"/>
    <w:rsid w:val="004D1246"/>
    <w:rsid w:val="004E13D2"/>
    <w:rsid w:val="004E15A9"/>
    <w:rsid w:val="004E37CD"/>
    <w:rsid w:val="004E6488"/>
    <w:rsid w:val="004E6616"/>
    <w:rsid w:val="004E77CC"/>
    <w:rsid w:val="004F39D2"/>
    <w:rsid w:val="004F6566"/>
    <w:rsid w:val="005028B4"/>
    <w:rsid w:val="00507570"/>
    <w:rsid w:val="005075A7"/>
    <w:rsid w:val="005113AE"/>
    <w:rsid w:val="00511A00"/>
    <w:rsid w:val="00512B07"/>
    <w:rsid w:val="00513D5D"/>
    <w:rsid w:val="00514868"/>
    <w:rsid w:val="00515E2D"/>
    <w:rsid w:val="0052058F"/>
    <w:rsid w:val="0052480E"/>
    <w:rsid w:val="00534A0B"/>
    <w:rsid w:val="00535157"/>
    <w:rsid w:val="00535454"/>
    <w:rsid w:val="00540182"/>
    <w:rsid w:val="005410CD"/>
    <w:rsid w:val="00541EF8"/>
    <w:rsid w:val="005440D4"/>
    <w:rsid w:val="005443C5"/>
    <w:rsid w:val="00547C34"/>
    <w:rsid w:val="0055604F"/>
    <w:rsid w:val="005569FD"/>
    <w:rsid w:val="00556EBB"/>
    <w:rsid w:val="0056307D"/>
    <w:rsid w:val="00565438"/>
    <w:rsid w:val="00565924"/>
    <w:rsid w:val="00571DAD"/>
    <w:rsid w:val="00573638"/>
    <w:rsid w:val="005739E8"/>
    <w:rsid w:val="00573C04"/>
    <w:rsid w:val="005779B7"/>
    <w:rsid w:val="005819A1"/>
    <w:rsid w:val="005844FE"/>
    <w:rsid w:val="00584639"/>
    <w:rsid w:val="00587043"/>
    <w:rsid w:val="0059225B"/>
    <w:rsid w:val="00596067"/>
    <w:rsid w:val="005A0B47"/>
    <w:rsid w:val="005A17C9"/>
    <w:rsid w:val="005A585E"/>
    <w:rsid w:val="005A7561"/>
    <w:rsid w:val="005B19D7"/>
    <w:rsid w:val="005B1BB5"/>
    <w:rsid w:val="005B2CF5"/>
    <w:rsid w:val="005B5647"/>
    <w:rsid w:val="005B5CE1"/>
    <w:rsid w:val="005B5F3F"/>
    <w:rsid w:val="005B68D2"/>
    <w:rsid w:val="005B7F1D"/>
    <w:rsid w:val="005C0890"/>
    <w:rsid w:val="005C16B3"/>
    <w:rsid w:val="005C4BD6"/>
    <w:rsid w:val="005C6485"/>
    <w:rsid w:val="005C678D"/>
    <w:rsid w:val="005D2501"/>
    <w:rsid w:val="005D6F91"/>
    <w:rsid w:val="005E16F0"/>
    <w:rsid w:val="005E24B9"/>
    <w:rsid w:val="005F13C0"/>
    <w:rsid w:val="005F4146"/>
    <w:rsid w:val="005F581C"/>
    <w:rsid w:val="006016ED"/>
    <w:rsid w:val="00607AFA"/>
    <w:rsid w:val="00612C7E"/>
    <w:rsid w:val="00621817"/>
    <w:rsid w:val="006248AD"/>
    <w:rsid w:val="00631144"/>
    <w:rsid w:val="00631CBA"/>
    <w:rsid w:val="0063288B"/>
    <w:rsid w:val="00635352"/>
    <w:rsid w:val="006358A5"/>
    <w:rsid w:val="00635955"/>
    <w:rsid w:val="00637C6E"/>
    <w:rsid w:val="00641A66"/>
    <w:rsid w:val="00642391"/>
    <w:rsid w:val="0064643A"/>
    <w:rsid w:val="0064691A"/>
    <w:rsid w:val="00646F20"/>
    <w:rsid w:val="00647EBD"/>
    <w:rsid w:val="00650E18"/>
    <w:rsid w:val="006527FC"/>
    <w:rsid w:val="006529E7"/>
    <w:rsid w:val="0065462B"/>
    <w:rsid w:val="00654710"/>
    <w:rsid w:val="0065526E"/>
    <w:rsid w:val="00660BDE"/>
    <w:rsid w:val="00661BAB"/>
    <w:rsid w:val="00666519"/>
    <w:rsid w:val="006667E7"/>
    <w:rsid w:val="0066722D"/>
    <w:rsid w:val="006673E3"/>
    <w:rsid w:val="00667B54"/>
    <w:rsid w:val="00672855"/>
    <w:rsid w:val="00673EF8"/>
    <w:rsid w:val="00674B3F"/>
    <w:rsid w:val="00675451"/>
    <w:rsid w:val="00675777"/>
    <w:rsid w:val="00676B77"/>
    <w:rsid w:val="0067721C"/>
    <w:rsid w:val="00677959"/>
    <w:rsid w:val="00681DD8"/>
    <w:rsid w:val="00684567"/>
    <w:rsid w:val="0068513B"/>
    <w:rsid w:val="006875A8"/>
    <w:rsid w:val="0069298D"/>
    <w:rsid w:val="006932DE"/>
    <w:rsid w:val="00696F97"/>
    <w:rsid w:val="006A0882"/>
    <w:rsid w:val="006A1817"/>
    <w:rsid w:val="006A1D59"/>
    <w:rsid w:val="006A5A87"/>
    <w:rsid w:val="006A79BC"/>
    <w:rsid w:val="006B1D59"/>
    <w:rsid w:val="006B3127"/>
    <w:rsid w:val="006B5414"/>
    <w:rsid w:val="006B6EA6"/>
    <w:rsid w:val="006C02B6"/>
    <w:rsid w:val="006C03E5"/>
    <w:rsid w:val="006C1898"/>
    <w:rsid w:val="006C5C3A"/>
    <w:rsid w:val="006C5F91"/>
    <w:rsid w:val="006C6342"/>
    <w:rsid w:val="006C691D"/>
    <w:rsid w:val="006C735C"/>
    <w:rsid w:val="006D4A4D"/>
    <w:rsid w:val="006D516D"/>
    <w:rsid w:val="006D6077"/>
    <w:rsid w:val="006D6556"/>
    <w:rsid w:val="006D68D9"/>
    <w:rsid w:val="006D6D91"/>
    <w:rsid w:val="006D7C97"/>
    <w:rsid w:val="006E17F8"/>
    <w:rsid w:val="006E4572"/>
    <w:rsid w:val="006E4774"/>
    <w:rsid w:val="006F22F9"/>
    <w:rsid w:val="00700823"/>
    <w:rsid w:val="007016A1"/>
    <w:rsid w:val="00704273"/>
    <w:rsid w:val="00707924"/>
    <w:rsid w:val="00707A9C"/>
    <w:rsid w:val="00707F8F"/>
    <w:rsid w:val="00716DBB"/>
    <w:rsid w:val="00717CFD"/>
    <w:rsid w:val="00720C12"/>
    <w:rsid w:val="007237F9"/>
    <w:rsid w:val="00725776"/>
    <w:rsid w:val="00726279"/>
    <w:rsid w:val="007274C2"/>
    <w:rsid w:val="007310F3"/>
    <w:rsid w:val="00732114"/>
    <w:rsid w:val="007324A7"/>
    <w:rsid w:val="00732761"/>
    <w:rsid w:val="00732CA9"/>
    <w:rsid w:val="00734F5B"/>
    <w:rsid w:val="0074603F"/>
    <w:rsid w:val="0074678D"/>
    <w:rsid w:val="00747D45"/>
    <w:rsid w:val="0075048D"/>
    <w:rsid w:val="00753A9D"/>
    <w:rsid w:val="00754628"/>
    <w:rsid w:val="00757C16"/>
    <w:rsid w:val="0076211D"/>
    <w:rsid w:val="00762FCF"/>
    <w:rsid w:val="00764A26"/>
    <w:rsid w:val="00764F54"/>
    <w:rsid w:val="00766408"/>
    <w:rsid w:val="00772467"/>
    <w:rsid w:val="0077315A"/>
    <w:rsid w:val="00776281"/>
    <w:rsid w:val="007822C1"/>
    <w:rsid w:val="007842A5"/>
    <w:rsid w:val="00784C32"/>
    <w:rsid w:val="007861C2"/>
    <w:rsid w:val="00787825"/>
    <w:rsid w:val="00787F68"/>
    <w:rsid w:val="00790C50"/>
    <w:rsid w:val="00791634"/>
    <w:rsid w:val="007946A8"/>
    <w:rsid w:val="00795155"/>
    <w:rsid w:val="00795FBA"/>
    <w:rsid w:val="00797E52"/>
    <w:rsid w:val="007A0C17"/>
    <w:rsid w:val="007A0FA7"/>
    <w:rsid w:val="007A56BA"/>
    <w:rsid w:val="007A608F"/>
    <w:rsid w:val="007A62DF"/>
    <w:rsid w:val="007A6C04"/>
    <w:rsid w:val="007B08D2"/>
    <w:rsid w:val="007B281A"/>
    <w:rsid w:val="007B44CC"/>
    <w:rsid w:val="007B6F0F"/>
    <w:rsid w:val="007C2371"/>
    <w:rsid w:val="007D0AE1"/>
    <w:rsid w:val="007D2911"/>
    <w:rsid w:val="007D3DB9"/>
    <w:rsid w:val="007D4DE8"/>
    <w:rsid w:val="007E1304"/>
    <w:rsid w:val="007E24C8"/>
    <w:rsid w:val="007E27D5"/>
    <w:rsid w:val="007E55E2"/>
    <w:rsid w:val="007F4047"/>
    <w:rsid w:val="007F4BBD"/>
    <w:rsid w:val="00800E98"/>
    <w:rsid w:val="008029AD"/>
    <w:rsid w:val="00802E5E"/>
    <w:rsid w:val="00803751"/>
    <w:rsid w:val="00803A42"/>
    <w:rsid w:val="00805D3C"/>
    <w:rsid w:val="00806594"/>
    <w:rsid w:val="008105E0"/>
    <w:rsid w:val="0081329F"/>
    <w:rsid w:val="00815097"/>
    <w:rsid w:val="00816F6E"/>
    <w:rsid w:val="00820391"/>
    <w:rsid w:val="008230E8"/>
    <w:rsid w:val="0082339F"/>
    <w:rsid w:val="00825466"/>
    <w:rsid w:val="008254A5"/>
    <w:rsid w:val="0082555C"/>
    <w:rsid w:val="00825CD3"/>
    <w:rsid w:val="0083121C"/>
    <w:rsid w:val="008336CB"/>
    <w:rsid w:val="00834591"/>
    <w:rsid w:val="00834777"/>
    <w:rsid w:val="00841F3E"/>
    <w:rsid w:val="00842E5C"/>
    <w:rsid w:val="00845664"/>
    <w:rsid w:val="00847F59"/>
    <w:rsid w:val="00850161"/>
    <w:rsid w:val="008529F7"/>
    <w:rsid w:val="008533EE"/>
    <w:rsid w:val="00853CA2"/>
    <w:rsid w:val="00854402"/>
    <w:rsid w:val="00860B14"/>
    <w:rsid w:val="00864C89"/>
    <w:rsid w:val="008652D6"/>
    <w:rsid w:val="008656DC"/>
    <w:rsid w:val="008665CB"/>
    <w:rsid w:val="00867CDA"/>
    <w:rsid w:val="008700A6"/>
    <w:rsid w:val="00871CAE"/>
    <w:rsid w:val="0087252B"/>
    <w:rsid w:val="00877F06"/>
    <w:rsid w:val="008801D6"/>
    <w:rsid w:val="00881346"/>
    <w:rsid w:val="0088312D"/>
    <w:rsid w:val="00883A5D"/>
    <w:rsid w:val="00887963"/>
    <w:rsid w:val="00892C04"/>
    <w:rsid w:val="008955A8"/>
    <w:rsid w:val="00895B86"/>
    <w:rsid w:val="00895D36"/>
    <w:rsid w:val="00896C02"/>
    <w:rsid w:val="008970DD"/>
    <w:rsid w:val="008A09EB"/>
    <w:rsid w:val="008A2027"/>
    <w:rsid w:val="008A2811"/>
    <w:rsid w:val="008A2B0D"/>
    <w:rsid w:val="008A33CB"/>
    <w:rsid w:val="008A4AA8"/>
    <w:rsid w:val="008A7C12"/>
    <w:rsid w:val="008B0ED3"/>
    <w:rsid w:val="008B57FC"/>
    <w:rsid w:val="008B596A"/>
    <w:rsid w:val="008B6609"/>
    <w:rsid w:val="008B66F6"/>
    <w:rsid w:val="008C470D"/>
    <w:rsid w:val="008D39DD"/>
    <w:rsid w:val="008D44AF"/>
    <w:rsid w:val="008D4868"/>
    <w:rsid w:val="008E3268"/>
    <w:rsid w:val="008E7E68"/>
    <w:rsid w:val="008F0E46"/>
    <w:rsid w:val="008F21F5"/>
    <w:rsid w:val="008F2D3D"/>
    <w:rsid w:val="008F43BB"/>
    <w:rsid w:val="008F445F"/>
    <w:rsid w:val="008F6B6B"/>
    <w:rsid w:val="008F6C72"/>
    <w:rsid w:val="008F6D36"/>
    <w:rsid w:val="008F7D7E"/>
    <w:rsid w:val="00904E73"/>
    <w:rsid w:val="00907D0E"/>
    <w:rsid w:val="00907E4E"/>
    <w:rsid w:val="009130DF"/>
    <w:rsid w:val="009137FB"/>
    <w:rsid w:val="00913C88"/>
    <w:rsid w:val="00914FA7"/>
    <w:rsid w:val="00915FDD"/>
    <w:rsid w:val="009160C0"/>
    <w:rsid w:val="00917891"/>
    <w:rsid w:val="00917D4C"/>
    <w:rsid w:val="00924508"/>
    <w:rsid w:val="00925433"/>
    <w:rsid w:val="009259DE"/>
    <w:rsid w:val="00925FAC"/>
    <w:rsid w:val="00933E12"/>
    <w:rsid w:val="009342CA"/>
    <w:rsid w:val="009370E5"/>
    <w:rsid w:val="009378D4"/>
    <w:rsid w:val="00941ADE"/>
    <w:rsid w:val="00944C25"/>
    <w:rsid w:val="009460EB"/>
    <w:rsid w:val="00946F77"/>
    <w:rsid w:val="00953DFC"/>
    <w:rsid w:val="0095570C"/>
    <w:rsid w:val="009564FD"/>
    <w:rsid w:val="009573D4"/>
    <w:rsid w:val="00957F00"/>
    <w:rsid w:val="00963FC4"/>
    <w:rsid w:val="009641B0"/>
    <w:rsid w:val="009647D4"/>
    <w:rsid w:val="00966777"/>
    <w:rsid w:val="00971F35"/>
    <w:rsid w:val="00972C14"/>
    <w:rsid w:val="00972E84"/>
    <w:rsid w:val="009732AD"/>
    <w:rsid w:val="00975C7C"/>
    <w:rsid w:val="0098071C"/>
    <w:rsid w:val="00980F75"/>
    <w:rsid w:val="00983608"/>
    <w:rsid w:val="00984381"/>
    <w:rsid w:val="00985626"/>
    <w:rsid w:val="009873A2"/>
    <w:rsid w:val="00990105"/>
    <w:rsid w:val="00992CB7"/>
    <w:rsid w:val="00997A26"/>
    <w:rsid w:val="009A0D49"/>
    <w:rsid w:val="009A227B"/>
    <w:rsid w:val="009A3958"/>
    <w:rsid w:val="009A3EAF"/>
    <w:rsid w:val="009A46E2"/>
    <w:rsid w:val="009A5D59"/>
    <w:rsid w:val="009B13F8"/>
    <w:rsid w:val="009B1D6A"/>
    <w:rsid w:val="009B3F11"/>
    <w:rsid w:val="009B42F1"/>
    <w:rsid w:val="009B505F"/>
    <w:rsid w:val="009B5064"/>
    <w:rsid w:val="009B6D0D"/>
    <w:rsid w:val="009C1AC8"/>
    <w:rsid w:val="009C1D74"/>
    <w:rsid w:val="009C7C8E"/>
    <w:rsid w:val="009D239D"/>
    <w:rsid w:val="009D4510"/>
    <w:rsid w:val="009D6871"/>
    <w:rsid w:val="009E0433"/>
    <w:rsid w:val="009E095C"/>
    <w:rsid w:val="009E10C1"/>
    <w:rsid w:val="009E24FC"/>
    <w:rsid w:val="009E2CC1"/>
    <w:rsid w:val="009E3B52"/>
    <w:rsid w:val="009F0828"/>
    <w:rsid w:val="009F2247"/>
    <w:rsid w:val="009F2562"/>
    <w:rsid w:val="009F2E2E"/>
    <w:rsid w:val="009F2F23"/>
    <w:rsid w:val="009F55A0"/>
    <w:rsid w:val="009F6304"/>
    <w:rsid w:val="00A011F2"/>
    <w:rsid w:val="00A024D8"/>
    <w:rsid w:val="00A03B1F"/>
    <w:rsid w:val="00A05853"/>
    <w:rsid w:val="00A07C03"/>
    <w:rsid w:val="00A137CE"/>
    <w:rsid w:val="00A154AD"/>
    <w:rsid w:val="00A15AEB"/>
    <w:rsid w:val="00A206AF"/>
    <w:rsid w:val="00A20C3A"/>
    <w:rsid w:val="00A22A8F"/>
    <w:rsid w:val="00A26D20"/>
    <w:rsid w:val="00A3232B"/>
    <w:rsid w:val="00A338AD"/>
    <w:rsid w:val="00A4080A"/>
    <w:rsid w:val="00A412DD"/>
    <w:rsid w:val="00A41F80"/>
    <w:rsid w:val="00A42239"/>
    <w:rsid w:val="00A42450"/>
    <w:rsid w:val="00A42FAF"/>
    <w:rsid w:val="00A43EA0"/>
    <w:rsid w:val="00A440EA"/>
    <w:rsid w:val="00A44568"/>
    <w:rsid w:val="00A45B71"/>
    <w:rsid w:val="00A472A0"/>
    <w:rsid w:val="00A51199"/>
    <w:rsid w:val="00A52491"/>
    <w:rsid w:val="00A54B74"/>
    <w:rsid w:val="00A55096"/>
    <w:rsid w:val="00A56C41"/>
    <w:rsid w:val="00A61081"/>
    <w:rsid w:val="00A62E32"/>
    <w:rsid w:val="00A63A53"/>
    <w:rsid w:val="00A63EDB"/>
    <w:rsid w:val="00A70F0B"/>
    <w:rsid w:val="00A73689"/>
    <w:rsid w:val="00A76A2F"/>
    <w:rsid w:val="00A80EBB"/>
    <w:rsid w:val="00A8679E"/>
    <w:rsid w:val="00A87236"/>
    <w:rsid w:val="00A8729D"/>
    <w:rsid w:val="00A875D9"/>
    <w:rsid w:val="00A91D6D"/>
    <w:rsid w:val="00A945BC"/>
    <w:rsid w:val="00A974E8"/>
    <w:rsid w:val="00A9784B"/>
    <w:rsid w:val="00AA2A2E"/>
    <w:rsid w:val="00AA48C5"/>
    <w:rsid w:val="00AB0801"/>
    <w:rsid w:val="00AB1449"/>
    <w:rsid w:val="00AB19B7"/>
    <w:rsid w:val="00AB4262"/>
    <w:rsid w:val="00AB5F53"/>
    <w:rsid w:val="00AC2E99"/>
    <w:rsid w:val="00AC596B"/>
    <w:rsid w:val="00AD00DC"/>
    <w:rsid w:val="00AD0F3B"/>
    <w:rsid w:val="00AD706B"/>
    <w:rsid w:val="00AE10CB"/>
    <w:rsid w:val="00AE3D57"/>
    <w:rsid w:val="00AE48E1"/>
    <w:rsid w:val="00AE4951"/>
    <w:rsid w:val="00AE4BC3"/>
    <w:rsid w:val="00AE55D5"/>
    <w:rsid w:val="00AE6AF7"/>
    <w:rsid w:val="00AF4159"/>
    <w:rsid w:val="00AF6005"/>
    <w:rsid w:val="00AF6E0D"/>
    <w:rsid w:val="00B018B7"/>
    <w:rsid w:val="00B06850"/>
    <w:rsid w:val="00B15D09"/>
    <w:rsid w:val="00B1643F"/>
    <w:rsid w:val="00B167DF"/>
    <w:rsid w:val="00B16B3B"/>
    <w:rsid w:val="00B17745"/>
    <w:rsid w:val="00B2223B"/>
    <w:rsid w:val="00B22325"/>
    <w:rsid w:val="00B241DB"/>
    <w:rsid w:val="00B27352"/>
    <w:rsid w:val="00B30302"/>
    <w:rsid w:val="00B308AA"/>
    <w:rsid w:val="00B312B2"/>
    <w:rsid w:val="00B3146D"/>
    <w:rsid w:val="00B31540"/>
    <w:rsid w:val="00B321F1"/>
    <w:rsid w:val="00B34974"/>
    <w:rsid w:val="00B35AA4"/>
    <w:rsid w:val="00B35B22"/>
    <w:rsid w:val="00B40C3E"/>
    <w:rsid w:val="00B41079"/>
    <w:rsid w:val="00B456F3"/>
    <w:rsid w:val="00B51D15"/>
    <w:rsid w:val="00B5256C"/>
    <w:rsid w:val="00B53C3A"/>
    <w:rsid w:val="00B56F91"/>
    <w:rsid w:val="00B60EA9"/>
    <w:rsid w:val="00B63488"/>
    <w:rsid w:val="00B63AB6"/>
    <w:rsid w:val="00B63FF0"/>
    <w:rsid w:val="00B72029"/>
    <w:rsid w:val="00B74D6C"/>
    <w:rsid w:val="00B75452"/>
    <w:rsid w:val="00B76624"/>
    <w:rsid w:val="00B76A65"/>
    <w:rsid w:val="00B76F16"/>
    <w:rsid w:val="00B82F11"/>
    <w:rsid w:val="00B847A2"/>
    <w:rsid w:val="00B85E7F"/>
    <w:rsid w:val="00B86AA7"/>
    <w:rsid w:val="00B87863"/>
    <w:rsid w:val="00BA017A"/>
    <w:rsid w:val="00BA1D27"/>
    <w:rsid w:val="00BA3153"/>
    <w:rsid w:val="00BA6A21"/>
    <w:rsid w:val="00BA7021"/>
    <w:rsid w:val="00BB547D"/>
    <w:rsid w:val="00BB67A1"/>
    <w:rsid w:val="00BB6CD2"/>
    <w:rsid w:val="00BC4008"/>
    <w:rsid w:val="00BC5FE7"/>
    <w:rsid w:val="00BC700E"/>
    <w:rsid w:val="00BC7676"/>
    <w:rsid w:val="00BD09A4"/>
    <w:rsid w:val="00BD0E0A"/>
    <w:rsid w:val="00BD1D48"/>
    <w:rsid w:val="00BD33D2"/>
    <w:rsid w:val="00BD4978"/>
    <w:rsid w:val="00BD4D29"/>
    <w:rsid w:val="00BD7A53"/>
    <w:rsid w:val="00BE019C"/>
    <w:rsid w:val="00BE23FA"/>
    <w:rsid w:val="00BE2BA7"/>
    <w:rsid w:val="00BE3060"/>
    <w:rsid w:val="00BF0476"/>
    <w:rsid w:val="00BF0AB7"/>
    <w:rsid w:val="00BF4789"/>
    <w:rsid w:val="00BF62EC"/>
    <w:rsid w:val="00BF6506"/>
    <w:rsid w:val="00BF692D"/>
    <w:rsid w:val="00BF7FC8"/>
    <w:rsid w:val="00C01528"/>
    <w:rsid w:val="00C06E04"/>
    <w:rsid w:val="00C07128"/>
    <w:rsid w:val="00C104E1"/>
    <w:rsid w:val="00C1066E"/>
    <w:rsid w:val="00C12252"/>
    <w:rsid w:val="00C12257"/>
    <w:rsid w:val="00C122C3"/>
    <w:rsid w:val="00C17DC8"/>
    <w:rsid w:val="00C2294A"/>
    <w:rsid w:val="00C235E4"/>
    <w:rsid w:val="00C249A4"/>
    <w:rsid w:val="00C2507A"/>
    <w:rsid w:val="00C25E41"/>
    <w:rsid w:val="00C26045"/>
    <w:rsid w:val="00C26467"/>
    <w:rsid w:val="00C26B40"/>
    <w:rsid w:val="00C27B1E"/>
    <w:rsid w:val="00C3204B"/>
    <w:rsid w:val="00C34ECC"/>
    <w:rsid w:val="00C3561B"/>
    <w:rsid w:val="00C402E4"/>
    <w:rsid w:val="00C40571"/>
    <w:rsid w:val="00C41ADA"/>
    <w:rsid w:val="00C4394B"/>
    <w:rsid w:val="00C44665"/>
    <w:rsid w:val="00C47779"/>
    <w:rsid w:val="00C47A9F"/>
    <w:rsid w:val="00C52D8B"/>
    <w:rsid w:val="00C530F1"/>
    <w:rsid w:val="00C5654A"/>
    <w:rsid w:val="00C60C4A"/>
    <w:rsid w:val="00C61237"/>
    <w:rsid w:val="00C61FAE"/>
    <w:rsid w:val="00C62E32"/>
    <w:rsid w:val="00C63433"/>
    <w:rsid w:val="00C64D28"/>
    <w:rsid w:val="00C66071"/>
    <w:rsid w:val="00C67890"/>
    <w:rsid w:val="00C70E41"/>
    <w:rsid w:val="00C70EAF"/>
    <w:rsid w:val="00C71741"/>
    <w:rsid w:val="00C72E64"/>
    <w:rsid w:val="00C73362"/>
    <w:rsid w:val="00C738F3"/>
    <w:rsid w:val="00C740FE"/>
    <w:rsid w:val="00C75C13"/>
    <w:rsid w:val="00C760D6"/>
    <w:rsid w:val="00C82C31"/>
    <w:rsid w:val="00C83491"/>
    <w:rsid w:val="00C84115"/>
    <w:rsid w:val="00C86A9A"/>
    <w:rsid w:val="00C92955"/>
    <w:rsid w:val="00C937A7"/>
    <w:rsid w:val="00C93CBA"/>
    <w:rsid w:val="00C94F41"/>
    <w:rsid w:val="00C961EF"/>
    <w:rsid w:val="00C979C9"/>
    <w:rsid w:val="00CA2A7A"/>
    <w:rsid w:val="00CA2CD3"/>
    <w:rsid w:val="00CA362A"/>
    <w:rsid w:val="00CA375D"/>
    <w:rsid w:val="00CA5C72"/>
    <w:rsid w:val="00CA79B7"/>
    <w:rsid w:val="00CA7F73"/>
    <w:rsid w:val="00CB34E9"/>
    <w:rsid w:val="00CB4633"/>
    <w:rsid w:val="00CC0AD3"/>
    <w:rsid w:val="00CC2C0E"/>
    <w:rsid w:val="00CD5562"/>
    <w:rsid w:val="00CD77AD"/>
    <w:rsid w:val="00CD7D96"/>
    <w:rsid w:val="00CD7E3E"/>
    <w:rsid w:val="00CE127B"/>
    <w:rsid w:val="00CE13E6"/>
    <w:rsid w:val="00CE2645"/>
    <w:rsid w:val="00CE45E6"/>
    <w:rsid w:val="00CE6D52"/>
    <w:rsid w:val="00CF084E"/>
    <w:rsid w:val="00CF2C90"/>
    <w:rsid w:val="00CF4FC8"/>
    <w:rsid w:val="00CF6CBE"/>
    <w:rsid w:val="00D0161C"/>
    <w:rsid w:val="00D01D08"/>
    <w:rsid w:val="00D01FDB"/>
    <w:rsid w:val="00D02916"/>
    <w:rsid w:val="00D06332"/>
    <w:rsid w:val="00D06D3D"/>
    <w:rsid w:val="00D07B83"/>
    <w:rsid w:val="00D12944"/>
    <w:rsid w:val="00D133CA"/>
    <w:rsid w:val="00D162B4"/>
    <w:rsid w:val="00D17956"/>
    <w:rsid w:val="00D2133D"/>
    <w:rsid w:val="00D2146A"/>
    <w:rsid w:val="00D219C7"/>
    <w:rsid w:val="00D21D99"/>
    <w:rsid w:val="00D21DD8"/>
    <w:rsid w:val="00D22AE4"/>
    <w:rsid w:val="00D22B86"/>
    <w:rsid w:val="00D2332E"/>
    <w:rsid w:val="00D23FCA"/>
    <w:rsid w:val="00D25D2B"/>
    <w:rsid w:val="00D27198"/>
    <w:rsid w:val="00D27258"/>
    <w:rsid w:val="00D27F51"/>
    <w:rsid w:val="00D315F6"/>
    <w:rsid w:val="00D31735"/>
    <w:rsid w:val="00D35DB5"/>
    <w:rsid w:val="00D3639A"/>
    <w:rsid w:val="00D43438"/>
    <w:rsid w:val="00D43C72"/>
    <w:rsid w:val="00D45762"/>
    <w:rsid w:val="00D47514"/>
    <w:rsid w:val="00D47D73"/>
    <w:rsid w:val="00D515AF"/>
    <w:rsid w:val="00D53457"/>
    <w:rsid w:val="00D55E46"/>
    <w:rsid w:val="00D56AC7"/>
    <w:rsid w:val="00D61A9A"/>
    <w:rsid w:val="00D63885"/>
    <w:rsid w:val="00D64BBC"/>
    <w:rsid w:val="00D67C7F"/>
    <w:rsid w:val="00D71FE0"/>
    <w:rsid w:val="00D74D8C"/>
    <w:rsid w:val="00D754EF"/>
    <w:rsid w:val="00D75F99"/>
    <w:rsid w:val="00D77113"/>
    <w:rsid w:val="00D77E0D"/>
    <w:rsid w:val="00D80112"/>
    <w:rsid w:val="00D84683"/>
    <w:rsid w:val="00D855B6"/>
    <w:rsid w:val="00D859A4"/>
    <w:rsid w:val="00D9183D"/>
    <w:rsid w:val="00D92DA7"/>
    <w:rsid w:val="00D92F55"/>
    <w:rsid w:val="00D95E50"/>
    <w:rsid w:val="00D96AF3"/>
    <w:rsid w:val="00DA55A4"/>
    <w:rsid w:val="00DB2E95"/>
    <w:rsid w:val="00DB3438"/>
    <w:rsid w:val="00DB415C"/>
    <w:rsid w:val="00DB43C2"/>
    <w:rsid w:val="00DB5698"/>
    <w:rsid w:val="00DB6D47"/>
    <w:rsid w:val="00DB6E78"/>
    <w:rsid w:val="00DC0115"/>
    <w:rsid w:val="00DC2CD0"/>
    <w:rsid w:val="00DC3758"/>
    <w:rsid w:val="00DC4177"/>
    <w:rsid w:val="00DC4C87"/>
    <w:rsid w:val="00DD4BBE"/>
    <w:rsid w:val="00DD568D"/>
    <w:rsid w:val="00DD5EE0"/>
    <w:rsid w:val="00DD6631"/>
    <w:rsid w:val="00DD7AE9"/>
    <w:rsid w:val="00DE0081"/>
    <w:rsid w:val="00DE2E49"/>
    <w:rsid w:val="00DE2F07"/>
    <w:rsid w:val="00DE325A"/>
    <w:rsid w:val="00DF06EE"/>
    <w:rsid w:val="00DF085D"/>
    <w:rsid w:val="00DF346A"/>
    <w:rsid w:val="00DF6173"/>
    <w:rsid w:val="00DF6C03"/>
    <w:rsid w:val="00DF6CA0"/>
    <w:rsid w:val="00DF7BFA"/>
    <w:rsid w:val="00E02E26"/>
    <w:rsid w:val="00E03340"/>
    <w:rsid w:val="00E0504E"/>
    <w:rsid w:val="00E07BA9"/>
    <w:rsid w:val="00E13BE8"/>
    <w:rsid w:val="00E162BF"/>
    <w:rsid w:val="00E16E0C"/>
    <w:rsid w:val="00E171B0"/>
    <w:rsid w:val="00E249A7"/>
    <w:rsid w:val="00E2510E"/>
    <w:rsid w:val="00E2569A"/>
    <w:rsid w:val="00E25EB1"/>
    <w:rsid w:val="00E27515"/>
    <w:rsid w:val="00E27A44"/>
    <w:rsid w:val="00E311AE"/>
    <w:rsid w:val="00E32F81"/>
    <w:rsid w:val="00E33DD3"/>
    <w:rsid w:val="00E342E6"/>
    <w:rsid w:val="00E3448C"/>
    <w:rsid w:val="00E34DDC"/>
    <w:rsid w:val="00E35E95"/>
    <w:rsid w:val="00E35F62"/>
    <w:rsid w:val="00E43A75"/>
    <w:rsid w:val="00E4791C"/>
    <w:rsid w:val="00E50E0F"/>
    <w:rsid w:val="00E53265"/>
    <w:rsid w:val="00E5431B"/>
    <w:rsid w:val="00E54754"/>
    <w:rsid w:val="00E55C1B"/>
    <w:rsid w:val="00E56875"/>
    <w:rsid w:val="00E61866"/>
    <w:rsid w:val="00E67835"/>
    <w:rsid w:val="00E705BB"/>
    <w:rsid w:val="00E726C7"/>
    <w:rsid w:val="00E73A39"/>
    <w:rsid w:val="00E75C52"/>
    <w:rsid w:val="00E77900"/>
    <w:rsid w:val="00E81DC4"/>
    <w:rsid w:val="00E83680"/>
    <w:rsid w:val="00E90B8C"/>
    <w:rsid w:val="00E90DE8"/>
    <w:rsid w:val="00E95E60"/>
    <w:rsid w:val="00E971B5"/>
    <w:rsid w:val="00E97209"/>
    <w:rsid w:val="00E97C27"/>
    <w:rsid w:val="00EA00BD"/>
    <w:rsid w:val="00EA0199"/>
    <w:rsid w:val="00EA1941"/>
    <w:rsid w:val="00EA6821"/>
    <w:rsid w:val="00EA6CE0"/>
    <w:rsid w:val="00EA7C33"/>
    <w:rsid w:val="00EB54CD"/>
    <w:rsid w:val="00EC279A"/>
    <w:rsid w:val="00EC547E"/>
    <w:rsid w:val="00EC7D53"/>
    <w:rsid w:val="00ED2340"/>
    <w:rsid w:val="00ED25E1"/>
    <w:rsid w:val="00ED4B2C"/>
    <w:rsid w:val="00EE006F"/>
    <w:rsid w:val="00EE3B6E"/>
    <w:rsid w:val="00EE6FA2"/>
    <w:rsid w:val="00EF018D"/>
    <w:rsid w:val="00F000A0"/>
    <w:rsid w:val="00F0069D"/>
    <w:rsid w:val="00F016DD"/>
    <w:rsid w:val="00F0345A"/>
    <w:rsid w:val="00F05A15"/>
    <w:rsid w:val="00F0717A"/>
    <w:rsid w:val="00F07389"/>
    <w:rsid w:val="00F1094E"/>
    <w:rsid w:val="00F13749"/>
    <w:rsid w:val="00F16974"/>
    <w:rsid w:val="00F176A7"/>
    <w:rsid w:val="00F17F43"/>
    <w:rsid w:val="00F20FD1"/>
    <w:rsid w:val="00F2132E"/>
    <w:rsid w:val="00F21D07"/>
    <w:rsid w:val="00F22D43"/>
    <w:rsid w:val="00F23447"/>
    <w:rsid w:val="00F25D1C"/>
    <w:rsid w:val="00F32BA1"/>
    <w:rsid w:val="00F32E48"/>
    <w:rsid w:val="00F34A0C"/>
    <w:rsid w:val="00F36685"/>
    <w:rsid w:val="00F36731"/>
    <w:rsid w:val="00F372DA"/>
    <w:rsid w:val="00F37E37"/>
    <w:rsid w:val="00F41C87"/>
    <w:rsid w:val="00F42062"/>
    <w:rsid w:val="00F426DA"/>
    <w:rsid w:val="00F42FEA"/>
    <w:rsid w:val="00F4356D"/>
    <w:rsid w:val="00F511AA"/>
    <w:rsid w:val="00F524CA"/>
    <w:rsid w:val="00F539B6"/>
    <w:rsid w:val="00F53E12"/>
    <w:rsid w:val="00F55285"/>
    <w:rsid w:val="00F55B34"/>
    <w:rsid w:val="00F57F43"/>
    <w:rsid w:val="00F61038"/>
    <w:rsid w:val="00F61D38"/>
    <w:rsid w:val="00F625E9"/>
    <w:rsid w:val="00F63E3B"/>
    <w:rsid w:val="00F64501"/>
    <w:rsid w:val="00F7298A"/>
    <w:rsid w:val="00F76007"/>
    <w:rsid w:val="00F77829"/>
    <w:rsid w:val="00F81D14"/>
    <w:rsid w:val="00F8441A"/>
    <w:rsid w:val="00F86BE0"/>
    <w:rsid w:val="00F90580"/>
    <w:rsid w:val="00F92676"/>
    <w:rsid w:val="00F9668F"/>
    <w:rsid w:val="00FA1F03"/>
    <w:rsid w:val="00FA2263"/>
    <w:rsid w:val="00FA305D"/>
    <w:rsid w:val="00FA568F"/>
    <w:rsid w:val="00FA57F6"/>
    <w:rsid w:val="00FA6681"/>
    <w:rsid w:val="00FB03D1"/>
    <w:rsid w:val="00FB2C9A"/>
    <w:rsid w:val="00FB3C89"/>
    <w:rsid w:val="00FB74AF"/>
    <w:rsid w:val="00FC228A"/>
    <w:rsid w:val="00FC5D60"/>
    <w:rsid w:val="00FC7D38"/>
    <w:rsid w:val="00FD0225"/>
    <w:rsid w:val="00FD2228"/>
    <w:rsid w:val="00FD512D"/>
    <w:rsid w:val="00FD525F"/>
    <w:rsid w:val="00FD5E73"/>
    <w:rsid w:val="00FD7B75"/>
    <w:rsid w:val="00FD7CEA"/>
    <w:rsid w:val="00FE1256"/>
    <w:rsid w:val="00FE23D9"/>
    <w:rsid w:val="00FE4246"/>
    <w:rsid w:val="00FE5DF3"/>
    <w:rsid w:val="00FE7A90"/>
    <w:rsid w:val="00FF07EA"/>
    <w:rsid w:val="00FF09CB"/>
    <w:rsid w:val="00FF1909"/>
    <w:rsid w:val="00FF2A9F"/>
    <w:rsid w:val="00FF31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662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7842A5"/>
    <w:pPr>
      <w:ind w:left="720"/>
      <w:contextualSpacing/>
    </w:pPr>
  </w:style>
  <w:style w:type="paragraph" w:customStyle="1" w:styleId="Tabelaszerokalistapunktowana">
    <w:name w:val="Tabela szeroka lista punktowana"/>
    <w:basedOn w:val="Tekstpodstawowy"/>
    <w:qFormat/>
    <w:rsid w:val="004A1A17"/>
    <w:pPr>
      <w:numPr>
        <w:numId w:val="3"/>
      </w:numPr>
      <w:tabs>
        <w:tab w:val="num" w:pos="360"/>
      </w:tabs>
      <w:suppressAutoHyphens/>
      <w:spacing w:after="0" w:line="276" w:lineRule="auto"/>
      <w:ind w:left="227" w:hanging="227"/>
      <w:textboxTightWrap w:val="allLines"/>
    </w:pPr>
    <w:rPr>
      <w:rFonts w:ascii="Cambria" w:eastAsia="Calibri" w:hAnsi="Cambria" w:cs="Times New Roman"/>
      <w:iCs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A1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A17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873E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873E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873E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43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4381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E2E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2E4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2E4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2E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2E49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9178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7891"/>
  </w:style>
  <w:style w:type="paragraph" w:styleId="Stopka">
    <w:name w:val="footer"/>
    <w:basedOn w:val="Normalny"/>
    <w:link w:val="StopkaZnak"/>
    <w:uiPriority w:val="99"/>
    <w:unhideWhenUsed/>
    <w:rsid w:val="009178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7891"/>
  </w:style>
  <w:style w:type="paragraph" w:styleId="Bezodstpw">
    <w:name w:val="No Spacing"/>
    <w:uiPriority w:val="1"/>
    <w:qFormat/>
    <w:rsid w:val="008A2027"/>
    <w:pPr>
      <w:spacing w:after="0" w:line="240" w:lineRule="auto"/>
    </w:pPr>
  </w:style>
  <w:style w:type="table" w:styleId="Tabela-Siatka">
    <w:name w:val="Table Grid"/>
    <w:basedOn w:val="Standardowy"/>
    <w:uiPriority w:val="39"/>
    <w:rsid w:val="000540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46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4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1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0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8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3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3B05668418954B9F9197D20C65EA1C" ma:contentTypeVersion="14" ma:contentTypeDescription="Create a new document." ma:contentTypeScope="" ma:versionID="13657dcef4ea55a6672ab5a756df9475">
  <xsd:schema xmlns:xsd="http://www.w3.org/2001/XMLSchema" xmlns:xs="http://www.w3.org/2001/XMLSchema" xmlns:p="http://schemas.microsoft.com/office/2006/metadata/properties" xmlns:ns3="f9d6bc27-f2bd-4049-a395-4b9f275af5c8" xmlns:ns4="f9c03475-987a-401d-8ac4-a8b320586573" targetNamespace="http://schemas.microsoft.com/office/2006/metadata/properties" ma:root="true" ma:fieldsID="5645d00086ee1abfcd7043a574df5468" ns3:_="" ns4:_="">
    <xsd:import namespace="f9d6bc27-f2bd-4049-a395-4b9f275af5c8"/>
    <xsd:import namespace="f9c03475-987a-401d-8ac4-a8b32058657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LengthInSeconds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d6bc27-f2bd-4049-a395-4b9f275af5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03475-987a-401d-8ac4-a8b320586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9758288-A718-4789-A1AD-5157C61377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E5E4E10-DDC2-4792-8200-191F136EA99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1AF0BB1-361E-457C-A772-5002AC0D63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d6bc27-f2bd-4049-a395-4b9f275af5c8"/>
    <ds:schemaRef ds:uri="f9c03475-987a-401d-8ac4-a8b320586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AB3F6D7-DE25-4693-950F-959E21512B3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18</Pages>
  <Words>5019</Words>
  <Characters>30120</Characters>
  <Application>Microsoft Office Word</Application>
  <DocSecurity>0</DocSecurity>
  <Lines>251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Paprocka</dc:creator>
  <cp:keywords/>
  <dc:description/>
  <cp:lastModifiedBy>ILO</cp:lastModifiedBy>
  <cp:revision>25</cp:revision>
  <dcterms:created xsi:type="dcterms:W3CDTF">2022-07-01T23:51:00Z</dcterms:created>
  <dcterms:modified xsi:type="dcterms:W3CDTF">2025-09-03T10:36:00Z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0x0101004A3B05668418954B9F9197D20C65EA1C</vt:lpwstr>
  </property>
</Properties>
</file>